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B1625A">
      <w:pPr>
        <w:keepNext w:val="0"/>
        <w:spacing w:lineRule="exact" w:line="696" w:before="0" w:after="240"/>
        <w:jc w:val="center"/>
      </w:pPr>
      <w:r>
        <w:rPr>
          <w:rFonts w:ascii="Times New Roman" w:hAnsi="Times New Roman" w:eastAsia="方正小标宋简体" w:cs="Times New Roman"/>
          <w:b w:val="0"/>
          <w:color w:val="000000"/>
          <w:sz w:val="44"/>
        </w:rPr>
        <w:t>慧教智研--高校教师AIGC专属智能平台</w:t>
      </w:r>
    </w:p>
    <w:p w14:paraId="59327232">
      <w:pPr>
        <w:keepNext w:val="0"/>
        <w:spacing w:lineRule="exact" w:line="576" w:before="0" w:after="240"/>
        <w:jc w:val="center"/>
      </w:pPr>
      <w:r>
        <w:rPr>
          <w:rFonts w:ascii="Times New Roman" w:hAnsi="Times New Roman" w:eastAsia="楷体_GB2312" w:cs="Times New Roman"/>
          <w:b w:val="0"/>
          <w:color w:val="000000"/>
          <w:sz w:val="28"/>
        </w:rPr>
        <w:t>教师使用手册（版本 1.0.0）</w:t>
      </w:r>
    </w:p>
    <w:p w14:paraId="7E1F2DDE">
      <w:pPr>
        <w:keepNext/>
        <w:spacing w:lineRule="exact" w:line="576" w:before="120" w:after="0"/>
        <w:ind w:firstLine="640"/>
        <w:jc w:val="both"/>
      </w:pPr>
      <w:r>
        <w:rPr>
          <w:rFonts w:ascii="Times New Roman" w:hAnsi="Times New Roman" w:eastAsia="黑体" w:cs="Times New Roman"/>
          <w:b w:val="0"/>
          <w:color w:val="000000"/>
          <w:sz w:val="32"/>
        </w:rPr>
        <w:t>一、写在前面</w:t>
      </w:r>
    </w:p>
    <w:p w14:paraId="4F2A2422">
      <w:pPr>
        <w:keepNext/>
        <w:spacing w:lineRule="exact" w:line="576" w:before="0" w:after="0"/>
        <w:ind w:firstLine="640"/>
        <w:jc w:val="both"/>
      </w:pPr>
      <w:r>
        <w:rPr>
          <w:rFonts w:ascii="Times New Roman" w:hAnsi="Times New Roman" w:eastAsia="楷体_GB2312" w:cs="Times New Roman"/>
          <w:b w:val="0"/>
          <w:color w:val="000000"/>
          <w:sz w:val="32"/>
        </w:rPr>
        <w:t>（一）这本手册是给谁用的</w:t>
      </w:r>
    </w:p>
    <w:p w14:paraId="63874AB0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《教师使用手册》面向使用本平台备课、建课与制作教学资源的高校教师，假定读者不使用代码、不熟悉提示词工程。手册只讲“怎么操作、会得到什么、注意什么”，不展开技术原理；技术底座与开源出处见“帮助 → 关于”窗口与《平台介绍》。</w:t>
      </w:r>
    </w:p>
    <w:p w14:paraId="36740CAA">
      <w:pPr>
        <w:keepNext w:val="0"/>
        <w:spacing w:lineRule="exact" w:line="576" w:before="0" w:after="0"/>
        <w:ind w:firstLine="640"/>
        <w:jc w:val="both"/>
      </w:pPr>
      <w:r>
        <w:t>本手册对应版本 1.0.0，技术底座为 DeepSeek Harness 开源运行时 0.2.1-rc.3（桌面外壳 Electron 44.7.0），保留 DSH 的会话、工作区、文件、终端、技能、自动化、模型与插件管理等完整能力，随包教学技能 89 个。慧教智研使用独立应用 ID、程序目录、数据目录、会话、缓存与端口，不与电脑里已安装的原 DSH 共用配置，也不修改原 DSH 数据。若界面与本手册描述有出入，以安装后的实际界面为准，并按第七章“常见问题”反馈。</w:t>
      </w:r>
    </w:p>
    <w:p w14:paraId="7189051E">
      <w:pPr>
        <w:keepNext/>
        <w:spacing w:lineRule="exact" w:line="576" w:before="0" w:after="0"/>
        <w:ind w:firstLine="640"/>
        <w:jc w:val="both"/>
      </w:pPr>
      <w:r>
        <w:rPr>
          <w:rFonts w:ascii="Times New Roman" w:hAnsi="Times New Roman" w:eastAsia="楷体_GB2312" w:cs="Times New Roman"/>
          <w:b w:val="0"/>
          <w:color w:val="000000"/>
          <w:sz w:val="32"/>
        </w:rPr>
        <w:t>（二）开始前的三件事</w:t>
      </w:r>
    </w:p>
    <w:p w14:paraId="622A86FE">
      <w:pPr>
        <w:keepNext w:val="0"/>
        <w:spacing w:lineRule="exact" w:line="576" w:before="0" w:after="0"/>
        <w:ind w:firstLine="640"/>
        <w:jc w:val="both"/>
      </w:pPr>
      <w:r>
        <w:t>第一，确认平台能正常打开（安装与激活步骤见《安装与激活手册》）。第二，在“设置 → 模型”里保存可用的模型 API 密钥，否则智能体无法生成内容。第三，想好课程成果放在哪个目录——默认教研工作区为“我的文档\慧教智研教研工作区”；该位置不可写时，平台自动改用可写数据根下的“教研工作区”。建议按第五章的目录规范先建好课程文件夹，再开始对话。</w:t>
      </w:r>
    </w:p>
    <w:p w14:paraId="60E8944E">
      <w:pPr>
        <w:keepNext/>
        <w:spacing w:lineRule="exact" w:line="576" w:before="0" w:after="0"/>
        <w:ind w:firstLine="640"/>
        <w:jc w:val="both"/>
      </w:pPr>
      <w:r>
        <w:rPr>
          <w:rFonts w:ascii="Times New Roman" w:hAnsi="Times New Roman" w:eastAsia="楷体_GB2312" w:cs="Times New Roman"/>
          <w:b w:val="0"/>
          <w:color w:val="000000"/>
          <w:sz w:val="32"/>
        </w:rPr>
        <w:t>（三）手册的读法</w:t>
      </w:r>
    </w:p>
    <w:p w14:paraId="1E6B5BB4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第一至三章是入门：看清界面、学会用技能。第四章是操作主体：五个高频场景逐步给出“怎么说、让它做什么、会产出什么文件”。第五至七章是规范化与进阶：工作区怎么组织、技能怎么自建、权限与备份怎么管。急用可直接跳到第四章对应场景。</w:t>
      </w:r>
    </w:p>
    <w:p w14:paraId="757FA2A8">
      <w:pPr>
        <w:keepNext/>
        <w:spacing w:lineRule="exact" w:line="576" w:before="120" w:after="0"/>
        <w:ind w:firstLine="640"/>
        <w:jc w:val="both"/>
      </w:pPr>
      <w:r>
        <w:rPr>
          <w:rFonts w:ascii="Times New Roman" w:hAnsi="Times New Roman" w:eastAsia="黑体" w:cs="Times New Roman"/>
          <w:b w:val="0"/>
          <w:color w:val="000000"/>
          <w:sz w:val="32"/>
        </w:rPr>
        <w:t>二、界面导览</w:t>
      </w:r>
    </w:p>
    <w:p w14:paraId="7DC2AC3E">
      <w:pPr>
        <w:keepNext/>
        <w:spacing w:lineRule="exact" w:line="576" w:before="0" w:after="0"/>
        <w:ind w:firstLine="640"/>
        <w:jc w:val="both"/>
      </w:pPr>
      <w:r>
        <w:rPr>
          <w:rFonts w:ascii="Times New Roman" w:hAnsi="Times New Roman" w:eastAsia="楷体_GB2312" w:cs="Times New Roman"/>
          <w:b w:val="0"/>
          <w:color w:val="000000"/>
          <w:sz w:val="32"/>
        </w:rPr>
        <w:t>（一）整体布局：三栏</w:t>
      </w:r>
    </w:p>
    <w:p w14:paraId="792B9FAE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主窗口是平台自己的工作台，采用左中右三栏布局：左栏是侧边栏，中栏是会话区，右栏是按需展开的文件与预览面板。三栏的宽度由平台按窗口大小自动分配，侧边栏还可以折叠成窄轨道，把空间全部让给正文。</w:t>
      </w:r>
    </w:p>
    <w:p w14:paraId="6ECD1332">
      <w:pPr>
        <w:keepNext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如图所示。</w:t>
      </w:r>
    </w:p>
    <w:p w14:paraId="3C1538EE">
      <w:pPr>
        <w:keepNext w:val="0"/>
        <w:spacing w:line="240" w:lineRule="auto"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ui-layou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42015744">
      <w:pPr>
        <w:keepNext w:val="0"/>
        <w:spacing w:lineRule="exact" w:line="576" w:before="0" w:after="120"/>
        <w:jc w:val="center"/>
      </w:pPr>
      <w:r>
        <w:rPr>
          <w:rFonts w:ascii="Times New Roman" w:hAnsi="Times New Roman" w:eastAsia="宋体" w:cs="Times New Roman"/>
          <w:b w:val="0"/>
          <w:color w:val="000000"/>
          <w:sz w:val="21"/>
        </w:rPr>
        <w:t>图1  主窗口三栏布局示意（左：侧边栏；中：会话区；右：文件与预览面板）</w:t>
      </w:r>
    </w:p>
    <w:p w14:paraId="521B225A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上图是布局示意而非实机截图，用于说明各区域的位置与职责；实机界面以安装后为准，交付验收时的界面截图见《验证报告》。</w:t>
      </w:r>
    </w:p>
    <w:p w14:paraId="34BFA436">
      <w:pPr>
        <w:keepNext/>
        <w:spacing w:lineRule="exact" w:line="576" w:before="0" w:after="0"/>
        <w:ind w:firstLine="640"/>
        <w:jc w:val="both"/>
      </w:pPr>
      <w:r>
        <w:rPr>
          <w:rFonts w:ascii="Times New Roman" w:hAnsi="Times New Roman" w:eastAsia="楷体_GB2312" w:cs="Times New Roman"/>
          <w:b w:val="0"/>
          <w:color w:val="000000"/>
          <w:sz w:val="32"/>
        </w:rPr>
        <w:t>（二）左侧栏：会话与设置的入口</w:t>
      </w:r>
    </w:p>
    <w:p w14:paraId="47622E94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侧边栏顶部是品牌行：平台标识、“慧教智研”字样与副标题“高校教师AIGC专属智能平台”。往下依次是：新建会话按钮、工作区列表、历史会话列表；最底部固定着“设置”入口。点击品牌行旁的折叠控件可把侧边栏收成窄轨道，再次点击展开。</w:t>
      </w:r>
    </w:p>
    <w:p w14:paraId="335154FA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“新建会话”会优先沿用你当前选择的工作区；没有选择时使用最近活跃的工作区。历史会话按工作区归属列出，点开即可继续上一次的对话——会话是持久化的，刷新或重启平台都不会丢。</w:t>
      </w:r>
    </w:p>
    <w:p w14:paraId="20ED1BE4">
      <w:pPr>
        <w:keepNext/>
        <w:spacing w:lineRule="exact" w:line="576" w:before="0" w:after="0"/>
        <w:ind w:firstLine="640"/>
        <w:jc w:val="both"/>
      </w:pPr>
      <w:r>
        <w:rPr>
          <w:rFonts w:ascii="Times New Roman" w:hAnsi="Times New Roman" w:eastAsia="楷体_GB2312" w:cs="Times New Roman"/>
          <w:b w:val="0"/>
          <w:color w:val="000000"/>
          <w:sz w:val="32"/>
        </w:rPr>
        <w:t>（三）会话区：对话、输入与两个关键控件</w:t>
      </w:r>
    </w:p>
    <w:p w14:paraId="6F5A6570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中栏是对话区：上方是对话流，智能体的每一步（规划、加载技能、生成、写入文件）都会显示为可展开的过程行，点开可以看细节；最终产出始终完整显示，不会被折叠。下方是输入框，输入一句需求后按回车或点“发送”。</w:t>
      </w:r>
    </w:p>
    <w:p w14:paraId="706839B6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输入框上方或旁边的两个控件建议每天用一次：模型控件用于切换本次会话使用的模型（也可输入 /model 打开弹窗），权限控件用于切换当前会话的权限预设（也可输入 /permission）。权限预设决定智能体能不能写文件、要不要逐条确认，出厂默认是“教师模式”，即只在教研工作区内读写、不弹窗打断。</w:t>
      </w:r>
    </w:p>
    <w:p w14:paraId="5979E3A2">
      <w:pPr>
        <w:keepNext/>
        <w:spacing w:lineRule="exact" w:line="576" w:before="0" w:after="0"/>
        <w:ind w:firstLine="640"/>
        <w:jc w:val="both"/>
      </w:pPr>
      <w:r>
        <w:rPr>
          <w:rFonts w:ascii="Times New Roman" w:hAnsi="Times New Roman" w:eastAsia="楷体_GB2312" w:cs="Times New Roman"/>
          <w:b w:val="0"/>
          <w:color w:val="000000"/>
          <w:sz w:val="32"/>
        </w:rPr>
        <w:t>（四）右栏：文件与预览</w:t>
      </w:r>
    </w:p>
    <w:p w14:paraId="501EE450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右栏是贴边面板，最常用的是“文件树”：逐层列出当前工作区的目录，点文件可在右栏直接预览。生成的文件不用离开平台去文件夹里找，在右栏点开就能看；需要改某一句时，把文件用 @ 引用给智能体，让它按你的要求修改原文件即可。</w:t>
      </w:r>
    </w:p>
    <w:p w14:paraId="7D88F740">
      <w:pPr>
        <w:keepNext/>
        <w:spacing w:lineRule="exact" w:line="576" w:before="0" w:after="0"/>
        <w:ind w:firstLine="640"/>
        <w:jc w:val="both"/>
      </w:pPr>
      <w:r>
        <w:rPr>
          <w:rFonts w:ascii="Times New Roman" w:hAnsi="Times New Roman" w:eastAsia="楷体_GB2312" w:cs="Times New Roman"/>
          <w:b w:val="0"/>
          <w:color w:val="000000"/>
          <w:sz w:val="32"/>
        </w:rPr>
        <w:t>（五）设置页：模型、通用、权限</w:t>
      </w:r>
    </w:p>
    <w:p w14:paraId="1926379A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左侧栏底部的“设置”打开设置页。与本平台使用最相关的是三项：“模型”页按提供商分组列出可配置的服务商，展开 DeepSeek 官方提供商行粘贴 API 密钥即可，密钥以只写方式保存在本机、界面不回显明文，同页还能看到并编辑该提供商的模型列表；“通用”页可调整默认权限预设等默认值；“权限”相关项与 /permission 选择器共用同一套预设。</w:t>
      </w:r>
    </w:p>
    <w:p w14:paraId="49B1146C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注意：设置页里改的默认权限只影响“之后新建的会话”；已有会话要切换权限，请用会话输入区的 /permission 选择器。</w:t>
      </w:r>
    </w:p>
    <w:p w14:paraId="7F41F470">
      <w:pPr>
        <w:keepNext/>
        <w:spacing w:lineRule="exact" w:line="576" w:before="0" w:after="0"/>
        <w:ind w:firstLine="640"/>
        <w:jc w:val="both"/>
      </w:pPr>
      <w:r>
        <w:rPr>
          <w:rFonts w:ascii="Times New Roman" w:hAnsi="Times New Roman" w:eastAsia="楷体_GB2312" w:cs="Times New Roman"/>
          <w:b w:val="0"/>
          <w:color w:val="000000"/>
          <w:sz w:val="32"/>
        </w:rPr>
        <w:t>（六）菜单与常用快捷键</w:t>
      </w:r>
    </w:p>
    <w:p w14:paraId="70193264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窗口菜单为中文菜单，默认隐藏，按 Alt 可临时调出：文件（新建会话、打开数据目录、打开日志目录、退出）、编辑（撤销、重做、剪切、复制、粘贴、全选）、视图（刷新、实际大小、放大、缩小、全屏）、帮助（使用手册、关于）。常用快捷键见下表。</w:t>
      </w:r>
    </w:p>
    <w:p w14:paraId="6E7E151C">
      <w:pPr>
        <w:keepNext/>
        <w:spacing w:lineRule="exact" w:line="576" w:before="120" w:after="60"/>
        <w:jc w:val="center"/>
      </w:pPr>
      <w:r>
        <w:rPr>
          <w:rFonts w:ascii="Times New Roman" w:hAnsi="Times New Roman" w:eastAsia="宋体" w:cs="Times New Roman"/>
          <w:b w:val="0"/>
          <w:color w:val="000000"/>
          <w:sz w:val="21"/>
        </w:rPr>
        <w:t>表1  常用快捷键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48"/>
        <w:gridCol w:w="2948"/>
        <w:gridCol w:w="2948"/>
      </w:tblGrid>
      <w:tr>
        <w:tc>
          <w:tcPr>
            <w:tcW w:type="dxa" w:w="2041"/>
          </w:tcPr>
          <w:p w14:paraId="57BBB53A">
            <w:pPr>
              <w:keepNext w:val="0"/>
              <w:spacing w:lineRule="exact" w:line="576" w:before="0" w:after="0"/>
              <w:jc w:val="center"/>
            </w:pPr>
            <w:r/>
            <w:r>
              <w:rPr>
                <w:rFonts w:ascii="Times New Roman" w:hAnsi="Times New Roman" w:eastAsia="宋体" w:cs="Times New Roman"/>
                <w:b/>
                <w:color w:val="000000"/>
                <w:sz w:val="21"/>
              </w:rPr>
              <w:t>快捷键</w:t>
            </w:r>
          </w:p>
        </w:tc>
        <w:tc>
          <w:tcPr>
            <w:tcW w:type="dxa" w:w="2608"/>
          </w:tcPr>
          <w:p w14:paraId="3A3F4DD2">
            <w:pPr>
              <w:keepNext w:val="0"/>
              <w:spacing w:lineRule="exact" w:line="576" w:before="0" w:after="0"/>
              <w:jc w:val="center"/>
            </w:pPr>
            <w:r/>
            <w:r>
              <w:rPr>
                <w:rFonts w:ascii="Times New Roman" w:hAnsi="Times New Roman" w:eastAsia="宋体" w:cs="Times New Roman"/>
                <w:b/>
                <w:color w:val="000000"/>
                <w:sz w:val="21"/>
              </w:rPr>
              <w:t>作用</w:t>
            </w:r>
          </w:p>
        </w:tc>
        <w:tc>
          <w:tcPr>
            <w:tcW w:type="dxa" w:w="4082"/>
          </w:tcPr>
          <w:p w14:paraId="6FC74670">
            <w:pPr>
              <w:keepNext w:val="0"/>
              <w:spacing w:lineRule="exact" w:line="576" w:before="0" w:after="0"/>
              <w:jc w:val="center"/>
            </w:pPr>
            <w:r/>
            <w:r>
              <w:rPr>
                <w:rFonts w:ascii="Times New Roman" w:hAnsi="Times New Roman" w:eastAsia="宋体" w:cs="Times New Roman"/>
                <w:b/>
                <w:color w:val="000000"/>
                <w:sz w:val="21"/>
              </w:rPr>
              <w:t>说明</w:t>
            </w:r>
          </w:p>
        </w:tc>
      </w:tr>
      <w:tr>
        <w:tc>
          <w:tcPr>
            <w:tcW w:type="dxa" w:w="2041"/>
          </w:tcPr>
          <w:p w14:paraId="4D5B9B50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Ctrl + N</w:t>
            </w:r>
          </w:p>
        </w:tc>
        <w:tc>
          <w:tcPr>
            <w:tcW w:type="dxa" w:w="2608"/>
          </w:tcPr>
          <w:p w14:paraId="48F53258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新建会话</w:t>
            </w:r>
          </w:p>
        </w:tc>
        <w:tc>
          <w:tcPr>
            <w:tcW w:type="dxa" w:w="4082"/>
          </w:tcPr>
          <w:p w14:paraId="36F1CBAA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等价于侧边栏“新建会话”</w:t>
            </w:r>
          </w:p>
        </w:tc>
      </w:tr>
      <w:tr>
        <w:tc>
          <w:tcPr>
            <w:tcW w:type="dxa" w:w="2041"/>
          </w:tcPr>
          <w:p w14:paraId="2B21C4E4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Ctrl + R</w:t>
            </w:r>
          </w:p>
        </w:tc>
        <w:tc>
          <w:tcPr>
            <w:tcW w:type="dxa" w:w="2608"/>
          </w:tcPr>
          <w:p w14:paraId="38B3D8F2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刷新界面</w:t>
            </w:r>
          </w:p>
        </w:tc>
        <w:tc>
          <w:tcPr>
            <w:tcW w:type="dxa" w:w="4082"/>
          </w:tcPr>
          <w:p w14:paraId="7C9CC556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界面异常时先刷新；不会丢会话</w:t>
            </w:r>
          </w:p>
        </w:tc>
      </w:tr>
      <w:tr>
        <w:tc>
          <w:tcPr>
            <w:tcW w:type="dxa" w:w="2041"/>
          </w:tcPr>
          <w:p w14:paraId="3D29A020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Ctrl + = / Ctrl + -</w:t>
            </w:r>
          </w:p>
        </w:tc>
        <w:tc>
          <w:tcPr>
            <w:tcW w:type="dxa" w:w="2608"/>
          </w:tcPr>
          <w:p w14:paraId="4E9DC9C0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放大 / 缩小</w:t>
            </w:r>
          </w:p>
        </w:tc>
        <w:tc>
          <w:tcPr>
            <w:tcW w:type="dxa" w:w="4082"/>
          </w:tcPr>
          <w:p w14:paraId="7300201C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调界面显示比例，不改文档字号</w:t>
            </w:r>
          </w:p>
        </w:tc>
      </w:tr>
      <w:tr>
        <w:tc>
          <w:tcPr>
            <w:tcW w:type="dxa" w:w="2041"/>
          </w:tcPr>
          <w:p w14:paraId="6CCC4D74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Ctrl + 0</w:t>
            </w:r>
          </w:p>
        </w:tc>
        <w:tc>
          <w:tcPr>
            <w:tcW w:type="dxa" w:w="2608"/>
          </w:tcPr>
          <w:p w14:paraId="11D58A1E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实际大小</w:t>
            </w:r>
          </w:p>
        </w:tc>
        <w:tc>
          <w:tcPr>
            <w:tcW w:type="dxa" w:w="4082"/>
          </w:tcPr>
          <w:p w14:paraId="5CA479BE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恢复 100% 显示</w:t>
            </w:r>
          </w:p>
        </w:tc>
      </w:tr>
      <w:tr>
        <w:tc>
          <w:tcPr>
            <w:tcW w:type="dxa" w:w="2041"/>
          </w:tcPr>
          <w:p w14:paraId="43E696F8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F11</w:t>
            </w:r>
          </w:p>
        </w:tc>
        <w:tc>
          <w:tcPr>
            <w:tcW w:type="dxa" w:w="2608"/>
          </w:tcPr>
          <w:p w14:paraId="43E8CD64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全屏</w:t>
            </w:r>
          </w:p>
        </w:tc>
        <w:tc>
          <w:tcPr>
            <w:tcW w:type="dxa" w:w="4082"/>
          </w:tcPr>
          <w:p w14:paraId="6E209730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讲授或演示时使用</w:t>
            </w:r>
          </w:p>
        </w:tc>
      </w:tr>
      <w:tr>
        <w:tc>
          <w:tcPr>
            <w:tcW w:type="dxa" w:w="2041"/>
          </w:tcPr>
          <w:p w14:paraId="61FBF2DC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F12</w:t>
            </w:r>
          </w:p>
        </w:tc>
        <w:tc>
          <w:tcPr>
            <w:tcW w:type="dxa" w:w="2608"/>
          </w:tcPr>
          <w:p w14:paraId="4DB9DEA4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开发者工具</w:t>
            </w:r>
          </w:p>
        </w:tc>
        <w:tc>
          <w:tcPr>
            <w:tcW w:type="dxa" w:w="4082"/>
          </w:tcPr>
          <w:p w14:paraId="6BB2F4A8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排障用；菜单中已隐藏，快捷键保留</w:t>
            </w:r>
          </w:p>
        </w:tc>
      </w:tr>
      <w:tr>
        <w:tc>
          <w:tcPr>
            <w:tcW w:type="dxa" w:w="2041"/>
          </w:tcPr>
          <w:p w14:paraId="460CA3EC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Alt</w:t>
            </w:r>
          </w:p>
        </w:tc>
        <w:tc>
          <w:tcPr>
            <w:tcW w:type="dxa" w:w="2608"/>
          </w:tcPr>
          <w:p w14:paraId="2CA748A4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临时显示菜单栏</w:t>
            </w:r>
          </w:p>
        </w:tc>
        <w:tc>
          <w:tcPr>
            <w:tcW w:type="dxa" w:w="4082"/>
          </w:tcPr>
          <w:p w14:paraId="7276558E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菜单默认自动隐藏</w:t>
            </w:r>
          </w:p>
        </w:tc>
      </w:tr>
      <w:tr>
        <w:tc>
          <w:tcPr>
            <w:tcW w:type="dxa" w:w="2041"/>
          </w:tcPr>
          <w:p w14:paraId="3D267F28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Esc</w:t>
            </w:r>
          </w:p>
        </w:tc>
        <w:tc>
          <w:tcPr>
            <w:tcW w:type="dxa" w:w="2608"/>
          </w:tcPr>
          <w:p w14:paraId="5D31563E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关闭弹窗 / 取消输入触发</w:t>
            </w:r>
          </w:p>
        </w:tc>
        <w:tc>
          <w:tcPr>
            <w:tcW w:type="dxa" w:w="4082"/>
          </w:tcPr>
          <w:p w14:paraId="5B1A949C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在 / 或 @ 菜单中退出</w:t>
            </w:r>
          </w:p>
        </w:tc>
      </w:tr>
      <w:tr>
        <w:tc>
          <w:tcPr>
            <w:tcW w:type="dxa" w:w="2041"/>
          </w:tcPr>
          <w:p w14:paraId="31BFA6C6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↑ ↓ 与回车</w:t>
            </w:r>
          </w:p>
        </w:tc>
        <w:tc>
          <w:tcPr>
            <w:tcW w:type="dxa" w:w="2608"/>
          </w:tcPr>
          <w:p w14:paraId="738BF6C6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选择候选项</w:t>
            </w:r>
          </w:p>
        </w:tc>
        <w:tc>
          <w:tcPr>
            <w:tcW w:type="dxa" w:w="4082"/>
          </w:tcPr>
          <w:p w14:paraId="053D232C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在 / 与 @ 的候选菜单中移动与确认</w:t>
            </w:r>
          </w:p>
        </w:tc>
      </w:tr>
    </w:tbl>
    <w:p w14:paraId="5A296522"/>
    <w:p w14:paraId="2A50A1DC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“帮助 → 使用手册”会打开随平台一起交付的网页版手册（教师使用手册.html）；“帮助 → 关于”显示产品名、版本、技术底座与免责声明。</w:t>
      </w:r>
    </w:p>
    <w:p w14:paraId="322E8BE4">
      <w:pPr>
        <w:keepNext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如图所示。</w:t>
      </w:r>
    </w:p>
    <w:p w14:paraId="1656D6C2">
      <w:pPr>
        <w:keepNext w:val="0"/>
        <w:spacing w:line="240" w:lineRule="auto"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ui-layou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9D5D576">
      <w:pPr>
        <w:keepNext w:val="0"/>
        <w:spacing w:lineRule="exact" w:line="576" w:before="0" w:after="120"/>
        <w:jc w:val="center"/>
      </w:pPr>
      <w:r>
        <w:rPr>
          <w:rFonts w:ascii="Times New Roman" w:hAnsi="Times New Roman" w:eastAsia="宋体" w:cs="Times New Roman"/>
          <w:b w:val="0"/>
          <w:color w:val="000000"/>
          <w:sz w:val="21"/>
        </w:rPr>
        <w:t>图2  实机界面截图（安装后自检 capturePage 采集，非示意图）</w:t>
      </w:r>
    </w:p>
    <w:p w14:paraId="4E7A3166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上图取自打包后的实机自检截图，用于核对版本界面与本章描述是否一致。</w:t>
      </w:r>
    </w:p>
    <w:p w14:paraId="41D4DAA2">
      <w:pPr>
        <w:keepNext/>
        <w:spacing w:lineRule="exact" w:line="576" w:before="120" w:after="0"/>
        <w:ind w:firstLine="640"/>
        <w:jc w:val="both"/>
      </w:pPr>
      <w:r>
        <w:rPr>
          <w:rFonts w:ascii="Times New Roman" w:hAnsi="Times New Roman" w:eastAsia="黑体" w:cs="Times New Roman"/>
          <w:b w:val="0"/>
          <w:color w:val="000000"/>
          <w:sz w:val="32"/>
        </w:rPr>
        <w:t>三、技能怎么用</w:t>
      </w:r>
    </w:p>
    <w:p w14:paraId="7AD12F3C">
      <w:pPr>
        <w:keepNext/>
        <w:spacing w:lineRule="exact" w:line="576" w:before="0" w:after="0"/>
        <w:ind w:firstLine="640"/>
        <w:jc w:val="both"/>
      </w:pPr>
      <w:r>
        <w:rPr>
          <w:rFonts w:ascii="Times New Roman" w:hAnsi="Times New Roman" w:eastAsia="楷体_GB2312" w:cs="Times New Roman"/>
          <w:b w:val="0"/>
          <w:color w:val="000000"/>
          <w:sz w:val="32"/>
        </w:rPr>
        <w:t>（一）技能是什么</w:t>
      </w:r>
    </w:p>
    <w:p w14:paraId="5FA78184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技能（skill）是平台内置的方法论包：每个技能用一份 SKILL.md 描述“什么时候用、按什么步骤做、产出什么、质量标准是什么、常见坑在哪”。平台随包提供 89 个技能，覆盖课程设计、内容制作、教学法与课堂、审查与质检、教研与教创赛、部署与运维，全部可离线执行，不依赖外部平台服务。</w:t>
      </w:r>
    </w:p>
    <w:p w14:paraId="702B2FCC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技能不是你手动“跑”的程序，而是智能体在接到任务时加载的作业说明书。所以你只需说清需求，智能体会自己判断该加载哪些技能；当然，你也可以直接指定。</w:t>
      </w:r>
    </w:p>
    <w:p w14:paraId="0BAB795E">
      <w:pPr>
        <w:keepNext/>
        <w:spacing w:lineRule="exact" w:line="576" w:before="0" w:after="0"/>
        <w:ind w:firstLine="640"/>
        <w:jc w:val="both"/>
      </w:pPr>
      <w:r>
        <w:rPr>
          <w:rFonts w:ascii="Times New Roman" w:hAnsi="Times New Roman" w:eastAsia="楷体_GB2312" w:cs="Times New Roman"/>
          <w:b w:val="0"/>
          <w:color w:val="000000"/>
          <w:sz w:val="32"/>
        </w:rPr>
        <w:t>（二）两种调用方式</w:t>
      </w:r>
    </w:p>
    <w:p w14:paraId="3ED8A536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第一种是“直接说需求”：在输入框写清课程名、授课对象与层次、学时或周次、想要的产出形态，智能体会先对齐要素、再加载相关技能、然后逐步产出。这是日常最省事的方式。</w:t>
      </w:r>
    </w:p>
    <w:p w14:paraId="10478AE8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第二种是“显式唤出”：在输入框键入斜杠“/”，会弹出分组候选菜单（斜杠命令与技能），用上下键选择、回车确认；也可以直接键入“/技能名”来加载该技能。技能加载后，对话里会出现一张可展开的“Instructions”卡片，点开能看到本次遵循的方法论要点。</w:t>
      </w:r>
    </w:p>
    <w:p w14:paraId="0EECBE5E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几个常用的斜杠命令：/model 打开模型选择弹窗；/permission 切换当前会话的权限预设；输入“/”后不选任何项按 Esc 退出。若某个技能名与命令同名，平台按命令处理。</w:t>
      </w:r>
    </w:p>
    <w:p w14:paraId="55FA7512">
      <w:pPr>
        <w:keepNext/>
        <w:spacing w:lineRule="exact" w:line="576" w:before="0" w:after="0"/>
        <w:ind w:firstLine="640"/>
        <w:jc w:val="both"/>
      </w:pPr>
      <w:r>
        <w:rPr>
          <w:rFonts w:ascii="Times New Roman" w:hAnsi="Times New Roman" w:eastAsia="楷体_GB2312" w:cs="Times New Roman"/>
          <w:b w:val="0"/>
          <w:color w:val="000000"/>
          <w:sz w:val="32"/>
        </w:rPr>
        <w:t>（三）用 @ 引用文件与会话</w:t>
      </w:r>
    </w:p>
    <w:p w14:paraId="5F26BC54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在输入框键入“@”，会弹出补全菜单：先列当前工作区的文件与文件夹，再列会话。选中文件即在输入里插入一个引用，智能体下次回答前会读取该文件内容。文件夹可以继续下钻选取；会话引用用于让智能体参考之前某次对话的结论。</w:t>
      </w:r>
    </w:p>
    <w:p w14:paraId="379A5F9A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典型用法：上传/放置自己的教学大纲后，输入“@教学大纲.docx 按这份大纲重排 16 周教案”，比口头描述准确得多。注意：引用只影响本次请求的上下文，不会修改原文件；要改文件请明确说“修改原文件并在工作区覆盖保存”。</w:t>
      </w:r>
    </w:p>
    <w:p w14:paraId="6B4A60D6">
      <w:pPr>
        <w:keepNext/>
        <w:spacing w:lineRule="exact" w:line="576" w:before="0" w:after="0"/>
        <w:ind w:firstLine="640"/>
        <w:jc w:val="both"/>
      </w:pPr>
      <w:r>
        <w:rPr>
          <w:rFonts w:ascii="Times New Roman" w:hAnsi="Times New Roman" w:eastAsia="楷体_GB2312" w:cs="Times New Roman"/>
          <w:b w:val="0"/>
          <w:color w:val="000000"/>
          <w:sz w:val="32"/>
        </w:rPr>
        <w:t>（四）技能清单与检索</w:t>
      </w:r>
    </w:p>
    <w:p w14:paraId="7C78EE4C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随包技能共 89 个。分类与代表技能见附录一；完整清单（含来源、处理方式、一句话说明）见交付文档中的《技能迁移清单》。平台界面里的技能入口会列出全部技能及描述，可按关键词检索；教师自建的技能会被自动发现，无需重启。</w:t>
      </w:r>
    </w:p>
    <w:p w14:paraId="36D52E16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同一任务可能同时命中多个技能，平台按任务优先级组合使用；如果你希望只用某个特定方法论，直接点名：“用 understanding-by-design 的方法做这门课的逆向设计”。</w:t>
      </w:r>
    </w:p>
    <w:p w14:paraId="3934C50E">
      <w:pPr>
        <w:keepNext/>
        <w:spacing w:lineRule="exact" w:line="576" w:before="120" w:after="0"/>
        <w:ind w:firstLine="640"/>
        <w:jc w:val="both"/>
      </w:pPr>
      <w:r>
        <w:rPr>
          <w:rFonts w:ascii="Times New Roman" w:hAnsi="Times New Roman" w:eastAsia="黑体" w:cs="Times New Roman"/>
          <w:b w:val="0"/>
          <w:color w:val="000000"/>
          <w:sz w:val="32"/>
        </w:rPr>
        <w:t>四、五个高频场景</w:t>
      </w:r>
    </w:p>
    <w:p w14:paraId="3E78BBC0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这一章的五个场景覆盖教师日常最高频的交付：课程设计、课件、互动课堂、题库与随堂测、交付前审查。每个场景都按“目标—准备—操作—产出—提示”五段写，可以直接照着做。五个动作在整条交付链上的位置如下图。</w:t>
      </w:r>
    </w:p>
    <w:p w14:paraId="0F5B36A8">
      <w:pPr>
        <w:keepNext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如图所示。</w:t>
      </w:r>
    </w:p>
    <w:p w14:paraId="2CE6F132">
      <w:pPr>
        <w:keepNext w:val="0"/>
        <w:spacing w:line="240" w:lineRule="auto"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5040000" cy="165375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kflow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65375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7AC29064">
      <w:pPr>
        <w:keepNext w:val="0"/>
        <w:spacing w:lineRule="exact" w:line="576" w:before="0" w:after="120"/>
        <w:jc w:val="center"/>
      </w:pPr>
      <w:r>
        <w:rPr>
          <w:rFonts w:ascii="Times New Roman" w:hAnsi="Times New Roman" w:eastAsia="宋体" w:cs="Times New Roman"/>
          <w:b w:val="0"/>
          <w:color w:val="000000"/>
          <w:sz w:val="21"/>
        </w:rPr>
        <w:t>图3  一次课程交付的五个动作（①说需求 ②加载技能 ③生成产出 ④逐件核对 ⑤交付前审查）</w:t>
      </w:r>
    </w:p>
    <w:p w14:paraId="6D5A7AB8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注意分工：②③由智能体完成，①④⑤由教师把关。审查是交付前的强制关卡，未通过不得交付。</w:t>
      </w:r>
    </w:p>
    <w:p w14:paraId="5D1B06CE">
      <w:pPr>
        <w:keepNext/>
        <w:spacing w:lineRule="exact" w:line="576" w:before="0" w:after="0"/>
        <w:ind w:firstLine="640"/>
        <w:jc w:val="both"/>
      </w:pPr>
      <w:r>
        <w:rPr>
          <w:rFonts w:ascii="Times New Roman" w:hAnsi="Times New Roman" w:eastAsia="楷体_GB2312" w:cs="Times New Roman"/>
          <w:b w:val="0"/>
          <w:color w:val="000000"/>
          <w:sz w:val="32"/>
        </w:rPr>
        <w:t>（一）场景一：生成一门课的课程设计</w:t>
      </w:r>
    </w:p>
    <w:p w14:paraId="0CAEFE12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目标：得到一份可直接用于申报或教研存档的课程设计（含 OBE 目标、单元拆分、学时分配、考核权重），并顺带产出教学大纲与进度表。</w:t>
      </w:r>
    </w:p>
    <w:p w14:paraId="5E59B894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准备：课程名、授课对象（层次/年级/专业）、学时与周次、教材或参考书、考核方式、学校格式要求。缺的关键信息智能体会一次问清（不超过 3 个问题），其余按合理默认处理，并在产出开头声明假设。</w:t>
      </w:r>
    </w:p>
    <w:p w14:paraId="5AFEF016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1．新建会话，工作区选到本课程的目录（建议先按第五章建好“课程名\01-课程设计”等子目录）。</w:t>
      </w:r>
    </w:p>
    <w:p w14:paraId="44B29C76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2．输入需求，例如：“帮我建一门《财务管理》智慧课程，本科二年级，48 学时 12 周，考核为过程性 60% + 期末 40%，按 OBE 做课程设计，并给出教学大纲与教学进度表。”</w:t>
      </w:r>
    </w:p>
    <w:p w14:paraId="519C108C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3．智能体先对齐要素再加载技能（通常命中 course-builder、syllabus、obe-objective-mapper、teaching-calendar 一类技能），逐单元细化并写入文件；过程中可随时插话纠正。</w:t>
      </w:r>
    </w:p>
    <w:p w14:paraId="74B8DB9A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4．在右栏文件树里打开产物核对：目标是否可测、单元颗粒度是否一致、学时与考核权重是否自洽。</w:t>
      </w:r>
    </w:p>
    <w:p w14:paraId="66F727EC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5．不满意就继续说：“第三单元偏难，拆成两个单元，补一次课堂活动，按新结构重写大纲与进度表”。</w:t>
      </w:r>
    </w:p>
    <w:p w14:paraId="5B2EF602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预期产出：《课程设计方案》《教学大纲》《教学进度表》等文件，落在工作区 01-课程设计 目录。产出为可编辑的 Word/Excel 或 Markdown，文件名带课程名与版本日期。</w:t>
      </w:r>
    </w:p>
    <w:p w14:paraId="333820E0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提示：课程设计是所有后续资源的依据，务必先确认设计再批量生产课件与题库；改设计后要明确要求“按新设计同步更新大纲与进度表”，避免版本不一致。</w:t>
      </w:r>
    </w:p>
    <w:p w14:paraId="66067396">
      <w:pPr>
        <w:keepNext/>
        <w:spacing w:lineRule="exact" w:line="576" w:before="0" w:after="0"/>
        <w:ind w:firstLine="640"/>
        <w:jc w:val="both"/>
      </w:pPr>
      <w:r>
        <w:rPr>
          <w:rFonts w:ascii="Times New Roman" w:hAnsi="Times New Roman" w:eastAsia="楷体_GB2312" w:cs="Times New Roman"/>
          <w:b w:val="0"/>
          <w:color w:val="000000"/>
          <w:sz w:val="32"/>
        </w:rPr>
        <w:t>（二）场景二：生成课件（PPT + 单文件 HTML 网页版）</w:t>
      </w:r>
    </w:p>
    <w:p w14:paraId="4B38D6CC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目标：按已确认的课程设计，逐单元产出课件。平台规范要求 PPT 必须同时提供网页版：PPT 用于编辑与投屏，HTML 网页版用于离线双击打开上课、手机扫码分享，且不依赖外网。</w:t>
      </w:r>
    </w:p>
    <w:p w14:paraId="73E8071E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准备：确认到单元级的课程设计；每单元的学时与重难点；是否有教材配图或本校格式要求。</w:t>
      </w:r>
    </w:p>
    <w:p w14:paraId="1B91163E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1．在新会话里用 @ 引用上一场景产出的《课程设计方案》或《教学大纲》。</w:t>
      </w:r>
    </w:p>
    <w:p w14:paraId="0C64691A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2．输入需求，例如：“按这份大纲做第三单元课件，20 页左右，学术风、图文并茂，同时给 PPTX 与单文件离线 HTML 网页版，HTML 要能键盘翻页。”</w:t>
      </w:r>
    </w:p>
    <w:p w14:paraId="5F821572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3．智能体加载课件类技能（如 html-ppt-deck、web-courseware-builder），先生成页面骨架再填内容，文件写入 02-课件 目录。</w:t>
      </w:r>
    </w:p>
    <w:p w14:paraId="430BEFAA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4．打开 HTML 版实测：双击打开、断网、翻页、字号在投影上是否清楚；打开 PPTX 检查母版与字体。</w:t>
      </w:r>
    </w:p>
    <w:p w14:paraId="47D72B76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5．需要改就指名改哪一页：“第 7 页公式太小，放大到正文同字号；第 12 页换成对比表格”。</w:t>
      </w:r>
    </w:p>
    <w:p w14:paraId="1C9311D6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预期产出：同名的 PPTX 与 HTML 两个版本，页数与标题一致，HTML 内无任何外部链接（字体、脚本、图片全部内联），单文件可拷贝到任何电脑上课。</w:t>
      </w:r>
    </w:p>
    <w:p w14:paraId="47A7297A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提示：网页版是交付硬要求，只有 PPTX 没有 HTML 版视为不合格；生成后务必用“断网 + 双击”的方式自测一次，这是最常见的返工点。</w:t>
      </w:r>
    </w:p>
    <w:p w14:paraId="08B2A07E">
      <w:pPr>
        <w:keepNext/>
        <w:spacing w:lineRule="exact" w:line="576" w:before="0" w:after="0"/>
        <w:ind w:firstLine="640"/>
        <w:jc w:val="both"/>
      </w:pPr>
      <w:r>
        <w:rPr>
          <w:rFonts w:ascii="Times New Roman" w:hAnsi="Times New Roman" w:eastAsia="楷体_GB2312" w:cs="Times New Roman"/>
          <w:b w:val="0"/>
          <w:color w:val="000000"/>
          <w:sz w:val="32"/>
        </w:rPr>
        <w:t>（三）场景三：生成互动课堂</w:t>
      </w:r>
    </w:p>
    <w:p w14:paraId="556E393C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目标：把某个知识点或单元做成可上课的互动课堂：有板书推演、随堂活动、可选的参数实验或案例讨论，教师可接管、可投屏。</w:t>
      </w:r>
    </w:p>
    <w:p w14:paraId="3EBC75F8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准备：明确知识点、班级规模与时长（如 90 分钟）、课堂形式偏好（白板讲授 / 课件讲演 / 互动活动 / 实验实训 / 案例讨论 / 闯关 / 微课）。</w:t>
      </w:r>
    </w:p>
    <w:p w14:paraId="7D167AAC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1．新建会话，说明主题与形式：“把《资金时间价值》做成 90 分钟互动课堂，要白板推演 + 随堂测 + 一个可调参数的复利演示，单文件离线 HTML。”</w:t>
      </w:r>
    </w:p>
    <w:p w14:paraId="34191F02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2．智能体加载互动课堂类技能（如 interactive-classroom-studio、whiteboard-teaching、inclass-quiz-maker、interactive-lab-maker），产出单文件课堂页并写入 03-互动课堂 目录。</w:t>
      </w:r>
    </w:p>
    <w:p w14:paraId="1944DF8E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3．自己按上课流程走一遍：翻页、板书、倒计时、投票、随堂测判分、参数联动是否正常。</w:t>
      </w:r>
    </w:p>
    <w:p w14:paraId="1CCE85E2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4．按班级实际提出修改：“把案例换成 manufacturing 企业的数据，随堂测加两道多选题”。</w:t>
      </w:r>
    </w:p>
    <w:p w14:paraId="75D7C080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预期产出：一个可双击打开的单文件互动课堂 HTML（可叠加配套的课堂方案文档），离线可用、无死链、页面无横向滚动。</w:t>
      </w:r>
    </w:p>
    <w:p w14:paraId="2D551FC4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提示：互动课堂的价值在“学生动手”，不要把满堂内容塞进一页；抽象概念优先做成可调参数的演示，而不是静态图。</w:t>
      </w:r>
    </w:p>
    <w:p w14:paraId="77A2EF5E">
      <w:pPr>
        <w:keepNext/>
        <w:spacing w:lineRule="exact" w:line="576" w:before="0" w:after="0"/>
        <w:ind w:firstLine="640"/>
        <w:jc w:val="both"/>
      </w:pPr>
      <w:r>
        <w:rPr>
          <w:rFonts w:ascii="Times New Roman" w:hAnsi="Times New Roman" w:eastAsia="楷体_GB2312" w:cs="Times New Roman"/>
          <w:b w:val="0"/>
          <w:color w:val="000000"/>
          <w:sz w:val="32"/>
        </w:rPr>
        <w:t>（四）场景四：生成题库与随堂测</w:t>
      </w:r>
    </w:p>
    <w:p w14:paraId="1B69C280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目标：按单元产出成套题目（单选、多选、判断、填空、简答），既可导出为试卷，也可做成可交互的在线练习页，带解析与判分。</w:t>
      </w:r>
    </w:p>
    <w:p w14:paraId="7693F2B8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准备：单元范围；题型配比与每题分值；难度分布；是否需要按知识点打标签；是否要防作弊/锁定答案。</w:t>
      </w:r>
    </w:p>
    <w:p w14:paraId="0747A9C2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1．用 @ 引用本单元的课件或教案，确保题目与讲课内容对齐。</w:t>
      </w:r>
    </w:p>
    <w:p w14:paraId="2AEA1BD0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2．输入需求：“按第三单元出 40 题：单选 15、多选 10、判断 10、简答 5，每题给解析与知识点标签，导出 Word 试卷 + 可交互练习页。”</w:t>
      </w:r>
    </w:p>
    <w:p w14:paraId="3ED36964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3．智能体加载题库类技能（如 question-bank-builder、inclass-quiz-maker）产出题目与解析。</w:t>
      </w:r>
    </w:p>
    <w:p w14:paraId="34241924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4．抽样核对：题干是否有歧义、答案是否唯一、解析是否给依据、分值是否合计正确。</w:t>
      </w:r>
    </w:p>
    <w:p w14:paraId="79B56218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5．把有问题的题号直接指出：“第 12、18 题干扰项太弱，重写；简答题第 3 题答案超纲”。</w:t>
      </w:r>
    </w:p>
    <w:p w14:paraId="16DD639E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预期产出：试卷文档 + 答案与解析 + 可交互练习页（离线单文件）。</w:t>
      </w:r>
    </w:p>
    <w:p w14:paraId="37C3FF08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提示：AI 出题必须人工过一遍答案与解析——这是内容科学性问题，不是格式问题；题库类页面不做“图文并茂”的形式要求，但判分逻辑与解析依据要实测。</w:t>
      </w:r>
    </w:p>
    <w:p w14:paraId="2D0CB6EE">
      <w:pPr>
        <w:keepNext/>
        <w:spacing w:lineRule="exact" w:line="576" w:before="0" w:after="0"/>
        <w:ind w:firstLine="640"/>
        <w:jc w:val="both"/>
      </w:pPr>
      <w:r>
        <w:rPr>
          <w:rFonts w:ascii="Times New Roman" w:hAnsi="Times New Roman" w:eastAsia="楷体_GB2312" w:cs="Times New Roman"/>
          <w:b w:val="0"/>
          <w:color w:val="000000"/>
          <w:sz w:val="32"/>
        </w:rPr>
        <w:t>（五）场景五：交付前审查</w:t>
      </w:r>
    </w:p>
    <w:p w14:paraId="7880A49E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目标：在把课程包交给学院、评审或学生之前，跑一遍强制的科学性与形式审查，拿到“通过/有条件通过”的结论并留档。这是本平台的交付纪律，不是可选项。</w:t>
      </w:r>
    </w:p>
    <w:p w14:paraId="32237DF8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准备：把本次交付的全部文件整理到同一课程目录；准备审查范围的说明（哪些是正式交付物）。</w:t>
      </w:r>
    </w:p>
    <w:p w14:paraId="081E3516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1．输入需求：“对 D:\课程\财务管理 目录下的全部交付物做内容科学性与形式审查，按公文格式与网页版规范检查，输出审查报告与台账。”</w:t>
      </w:r>
    </w:p>
    <w:p w14:paraId="22A4BF66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2．智能体加载 content-science-format-review（并视需要 fact-check、course-quality-audit），对 Word 做版式机检（A4、页边距、三号仿宋、固定行距、页码域、字体白名单、图片内嵌与行距规则），对 HTML 做离线/字号/图文/可访问性检查，对内容做事实可溯源与时效性核查。</w:t>
      </w:r>
    </w:p>
    <w:p w14:paraId="723FFB84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3．在交付目录下查看产物：审查报告（.md 与 .json）、主题知识核查记录、审查台账。</w:t>
      </w:r>
    </w:p>
    <w:p w14:paraId="43A53AFC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4．按“必改清单”逐条修改，改完让智能体重跑审查，直到 warn 清零；不得沿用旧结论。</w:t>
      </w:r>
    </w:p>
    <w:p w14:paraId="7904A06C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5．确认审查台账已登记本次交付（台账缺失即视为未审查）。</w:t>
      </w:r>
    </w:p>
    <w:p w14:paraId="1C3A064C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预期产出：审查报告（人读 + 机读）、审查台账、必改项清零后的复验记录。</w:t>
      </w:r>
    </w:p>
    <w:p w14:paraId="0E9F1E04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提示：审查时点以对话当日为准，晚于当日的日期与数据不得当已发生事实；个人隐私（手机号、身份证号、成绩与姓名组合）在报告中只以掩码出现。</w:t>
      </w:r>
    </w:p>
    <w:p w14:paraId="6EB37BAA">
      <w:pPr>
        <w:keepNext/>
        <w:spacing w:lineRule="exact" w:line="576" w:before="120" w:after="0"/>
        <w:ind w:firstLine="640"/>
        <w:jc w:val="both"/>
      </w:pPr>
      <w:r>
        <w:rPr>
          <w:rFonts w:ascii="Times New Roman" w:hAnsi="Times New Roman" w:eastAsia="黑体" w:cs="Times New Roman"/>
          <w:b w:val="0"/>
          <w:color w:val="000000"/>
          <w:sz w:val="32"/>
        </w:rPr>
        <w:t>五、教研工作区组织规范</w:t>
      </w:r>
    </w:p>
    <w:p w14:paraId="187128E0">
      <w:pPr>
        <w:keepNext/>
        <w:spacing w:lineRule="exact" w:line="576" w:before="0" w:after="0"/>
        <w:ind w:firstLine="640"/>
        <w:jc w:val="both"/>
      </w:pPr>
      <w:r>
        <w:rPr>
          <w:rFonts w:ascii="Times New Roman" w:hAnsi="Times New Roman" w:eastAsia="楷体_GB2312" w:cs="Times New Roman"/>
          <w:b w:val="0"/>
          <w:color w:val="000000"/>
          <w:sz w:val="32"/>
        </w:rPr>
        <w:t>（一）默认工作区在哪里</w:t>
      </w:r>
    </w:p>
    <w:p w14:paraId="0121D486">
      <w:pPr>
        <w:keepNext w:val="0"/>
        <w:spacing w:lineRule="exact" w:line="576" w:before="0" w:after="0"/>
        <w:ind w:firstLine="640"/>
        <w:jc w:val="both"/>
      </w:pPr>
      <w:r>
        <w:t>平台默认把“我的文档\慧教智研教研工作区”作为教研工作区；如果该位置不可写，会自动改用可写数据根下的“教研工作区”。智能体出厂权限为“教师模式”，只在当前教研工作区内读写。数据根优先使用 %APPDATA%\慧教智研，受限环境会自动探测其他可写位置；可用“文件 → 打开数据目录”查看实际位置。需要处理工作区外文件时，请临时切换权限，处理完再切回教师模式。</w:t>
      </w:r>
    </w:p>
    <w:p w14:paraId="25B90AF4">
      <w:pPr>
        <w:keepNext/>
        <w:spacing w:lineRule="exact" w:line="576" w:before="0" w:after="0"/>
        <w:ind w:firstLine="640"/>
        <w:jc w:val="both"/>
      </w:pPr>
      <w:r>
        <w:rPr>
          <w:rFonts w:ascii="Times New Roman" w:hAnsi="Times New Roman" w:eastAsia="楷体_GB2312" w:cs="Times New Roman"/>
          <w:b w:val="0"/>
          <w:color w:val="000000"/>
          <w:sz w:val="32"/>
        </w:rPr>
        <w:t>（二）每门课一个目录，按类型分七个子目录</w:t>
      </w:r>
    </w:p>
    <w:p w14:paraId="4B62933A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建议在开始第一句话之前，先把课程文件夹按下面的结构建好；智能体会按你给的路径归档，后续找文件、做审查、打包交付都不会乱。</w:t>
      </w:r>
    </w:p>
    <w:p w14:paraId="51CADD2E">
      <w:pPr>
        <w:keepNext/>
        <w:spacing w:lineRule="exact" w:line="576" w:before="120" w:after="60"/>
        <w:jc w:val="center"/>
      </w:pPr>
      <w:r>
        <w:rPr>
          <w:rFonts w:ascii="Times New Roman" w:hAnsi="Times New Roman" w:eastAsia="宋体" w:cs="Times New Roman"/>
          <w:b w:val="0"/>
          <w:color w:val="000000"/>
          <w:sz w:val="21"/>
        </w:rPr>
        <w:t>表2  教研工作区目录规范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48"/>
        <w:gridCol w:w="2948"/>
        <w:gridCol w:w="2948"/>
      </w:tblGrid>
      <w:tr>
        <w:tc>
          <w:tcPr>
            <w:tcW w:type="dxa" w:w="2041"/>
          </w:tcPr>
          <w:p w14:paraId="04853246">
            <w:pPr>
              <w:keepNext w:val="0"/>
              <w:spacing w:lineRule="exact" w:line="576" w:before="0" w:after="0"/>
              <w:jc w:val="center"/>
            </w:pPr>
            <w:r/>
            <w:r>
              <w:rPr>
                <w:rFonts w:ascii="Times New Roman" w:hAnsi="Times New Roman" w:eastAsia="宋体" w:cs="Times New Roman"/>
                <w:b/>
                <w:color w:val="000000"/>
                <w:sz w:val="21"/>
              </w:rPr>
              <w:t>目录</w:t>
            </w:r>
          </w:p>
        </w:tc>
        <w:tc>
          <w:tcPr>
            <w:tcW w:type="dxa" w:w="3742"/>
          </w:tcPr>
          <w:p w14:paraId="14DF6768">
            <w:pPr>
              <w:keepNext w:val="0"/>
              <w:spacing w:lineRule="exact" w:line="576" w:before="0" w:after="0"/>
              <w:jc w:val="center"/>
            </w:pPr>
            <w:r/>
            <w:r>
              <w:rPr>
                <w:rFonts w:ascii="Times New Roman" w:hAnsi="Times New Roman" w:eastAsia="宋体" w:cs="Times New Roman"/>
                <w:b/>
                <w:color w:val="000000"/>
                <w:sz w:val="21"/>
              </w:rPr>
              <w:t>放什么</w:t>
            </w:r>
          </w:p>
        </w:tc>
        <w:tc>
          <w:tcPr>
            <w:tcW w:type="dxa" w:w="2948"/>
          </w:tcPr>
          <w:p w14:paraId="646DCF12">
            <w:pPr>
              <w:keepNext w:val="0"/>
              <w:spacing w:lineRule="exact" w:line="576" w:before="0" w:after="0"/>
              <w:jc w:val="center"/>
            </w:pPr>
            <w:r/>
            <w:r>
              <w:rPr>
                <w:rFonts w:ascii="Times New Roman" w:hAnsi="Times New Roman" w:eastAsia="宋体" w:cs="Times New Roman"/>
                <w:b/>
                <w:color w:val="000000"/>
                <w:sz w:val="21"/>
              </w:rPr>
              <w:t>典型文件</w:t>
            </w:r>
          </w:p>
        </w:tc>
      </w:tr>
      <w:tr>
        <w:tc>
          <w:tcPr>
            <w:tcW w:type="dxa" w:w="2041"/>
          </w:tcPr>
          <w:p w14:paraId="23D19274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01-课程设计</w:t>
            </w:r>
          </w:p>
        </w:tc>
        <w:tc>
          <w:tcPr>
            <w:tcW w:type="dxa" w:w="3742"/>
          </w:tcPr>
          <w:p w14:paraId="626F3C5C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课程建设方案、教学大纲、教学进度、教案</w:t>
            </w:r>
          </w:p>
        </w:tc>
        <w:tc>
          <w:tcPr>
            <w:tcW w:type="dxa" w:w="2948"/>
          </w:tcPr>
          <w:p w14:paraId="35E49008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课程设计方案-v1.0-20261025.docx</w:t>
            </w:r>
          </w:p>
        </w:tc>
      </w:tr>
      <w:tr>
        <w:tc>
          <w:tcPr>
            <w:tcW w:type="dxa" w:w="2041"/>
          </w:tcPr>
          <w:p w14:paraId="3E8165BA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02-课件</w:t>
            </w:r>
          </w:p>
        </w:tc>
        <w:tc>
          <w:tcPr>
            <w:tcW w:type="dxa" w:w="3742"/>
          </w:tcPr>
          <w:p w14:paraId="3E3D4B08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课件 PPT 与其 HTML 网页版</w:t>
            </w:r>
          </w:p>
        </w:tc>
        <w:tc>
          <w:tcPr>
            <w:tcW w:type="dxa" w:w="2948"/>
          </w:tcPr>
          <w:p w14:paraId="032915AE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第三单元-资金时间价值.pptx / .html</w:t>
            </w:r>
          </w:p>
        </w:tc>
      </w:tr>
      <w:tr>
        <w:tc>
          <w:tcPr>
            <w:tcW w:type="dxa" w:w="2041"/>
          </w:tcPr>
          <w:p w14:paraId="6411D388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03-互动课堂</w:t>
            </w:r>
          </w:p>
        </w:tc>
        <w:tc>
          <w:tcPr>
            <w:tcW w:type="dxa" w:w="3742"/>
          </w:tcPr>
          <w:p w14:paraId="3C5847D8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互动课堂单文件页与课堂方案</w:t>
            </w:r>
          </w:p>
        </w:tc>
        <w:tc>
          <w:tcPr>
            <w:tcW w:type="dxa" w:w="2948"/>
          </w:tcPr>
          <w:p w14:paraId="3B3F9386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资金时间价值-互动课堂.html</w:t>
            </w:r>
          </w:p>
        </w:tc>
      </w:tr>
      <w:tr>
        <w:tc>
          <w:tcPr>
            <w:tcW w:type="dxa" w:w="2041"/>
          </w:tcPr>
          <w:p w14:paraId="3E13750C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04-题库与考核</w:t>
            </w:r>
          </w:p>
        </w:tc>
        <w:tc>
          <w:tcPr>
            <w:tcW w:type="dxa" w:w="3742"/>
          </w:tcPr>
          <w:p w14:paraId="4B455C7C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题库、试卷、随堂测、评分量规</w:t>
            </w:r>
          </w:p>
        </w:tc>
        <w:tc>
          <w:tcPr>
            <w:tcW w:type="dxa" w:w="2948"/>
          </w:tcPr>
          <w:p w14:paraId="4FD2A6D2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第三单元-试题与解析.docx</w:t>
            </w:r>
          </w:p>
        </w:tc>
      </w:tr>
      <w:tr>
        <w:tc>
          <w:tcPr>
            <w:tcW w:type="dxa" w:w="2041"/>
          </w:tcPr>
          <w:p w14:paraId="2FBFF1AE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05-数字教材</w:t>
            </w:r>
          </w:p>
        </w:tc>
        <w:tc>
          <w:tcPr>
            <w:tcW w:type="dxa" w:w="3742"/>
          </w:tcPr>
          <w:p w14:paraId="609FEA6E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数字教材稿与配套资源</w:t>
            </w:r>
          </w:p>
        </w:tc>
        <w:tc>
          <w:tcPr>
            <w:tcW w:type="dxa" w:w="2948"/>
          </w:tcPr>
          <w:p w14:paraId="0444AF2C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财务管理数字教材-第一章.docx</w:t>
            </w:r>
          </w:p>
        </w:tc>
      </w:tr>
      <w:tr>
        <w:tc>
          <w:tcPr>
            <w:tcW w:type="dxa" w:w="2041"/>
          </w:tcPr>
          <w:p w14:paraId="15CF3F98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06-教研与教创赛</w:t>
            </w:r>
          </w:p>
        </w:tc>
        <w:tc>
          <w:tcPr>
            <w:tcW w:type="dxa" w:w="3742"/>
          </w:tcPr>
          <w:p w14:paraId="094C847A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申报书、教研论文、参赛材料</w:t>
            </w:r>
          </w:p>
        </w:tc>
        <w:tc>
          <w:tcPr>
            <w:tcW w:type="dxa" w:w="2948"/>
          </w:tcPr>
          <w:p w14:paraId="4F2A5B24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教创赛申报书-v2-20261025.docx</w:t>
            </w:r>
          </w:p>
        </w:tc>
      </w:tr>
      <w:tr>
        <w:tc>
          <w:tcPr>
            <w:tcW w:type="dxa" w:w="2041"/>
          </w:tcPr>
          <w:p w14:paraId="4FCE0986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07-归档</w:t>
            </w:r>
          </w:p>
        </w:tc>
        <w:tc>
          <w:tcPr>
            <w:tcW w:type="dxa" w:w="3742"/>
          </w:tcPr>
          <w:p w14:paraId="397F733A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历史版本、废弃稿、过程留痕</w:t>
            </w:r>
          </w:p>
        </w:tc>
        <w:tc>
          <w:tcPr>
            <w:tcW w:type="dxa" w:w="2948"/>
          </w:tcPr>
          <w:p w14:paraId="07DCE7B0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20261020-旧版大纲.docx</w:t>
            </w:r>
          </w:p>
        </w:tc>
      </w:tr>
    </w:tbl>
    <w:p w14:paraId="044EE36A"/>
    <w:p w14:paraId="02B5F8A4">
      <w:pPr>
        <w:keepNext/>
        <w:spacing w:lineRule="exact" w:line="576" w:before="0" w:after="0"/>
        <w:ind w:firstLine="640"/>
        <w:jc w:val="both"/>
      </w:pPr>
      <w:r>
        <w:rPr>
          <w:rFonts w:ascii="Times New Roman" w:hAnsi="Times New Roman" w:eastAsia="楷体_GB2312" w:cs="Times New Roman"/>
          <w:b w:val="0"/>
          <w:color w:val="000000"/>
          <w:sz w:val="32"/>
        </w:rPr>
        <w:t>（三）命名规范与交付包</w:t>
      </w:r>
    </w:p>
    <w:p w14:paraId="7A64B3D2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文件名用中文、语义清晰、带版本或日期，例如“财务管理-课程大纲-v1.2-20261025.docx”；不使用空格与特殊符号（空格易在下发与上传时被截断或转义）。每个交付包附一份《使用说明.md》，写清怎么用、用什么打开、注意事项与后续可改进项——这是让同事或评审能独立读懂你交付物的最低成本做法。</w:t>
      </w:r>
    </w:p>
    <w:p w14:paraId="13E23916">
      <w:pPr>
        <w:keepNext/>
        <w:spacing w:lineRule="exact" w:line="576" w:before="120" w:after="0"/>
        <w:ind w:firstLine="640"/>
        <w:jc w:val="both"/>
      </w:pPr>
      <w:r>
        <w:rPr>
          <w:rFonts w:ascii="Times New Roman" w:hAnsi="Times New Roman" w:eastAsia="黑体" w:cs="Times New Roman"/>
          <w:b w:val="0"/>
          <w:color w:val="000000"/>
          <w:sz w:val="32"/>
        </w:rPr>
        <w:t>六、进阶</w:t>
      </w:r>
    </w:p>
    <w:p w14:paraId="379B19DE">
      <w:pPr>
        <w:keepNext/>
        <w:spacing w:lineRule="exact" w:line="576" w:before="0" w:after="0"/>
        <w:ind w:firstLine="640"/>
        <w:jc w:val="both"/>
      </w:pPr>
      <w:r>
        <w:rPr>
          <w:rFonts w:ascii="Times New Roman" w:hAnsi="Times New Roman" w:eastAsia="楷体_GB2312" w:cs="Times New Roman"/>
          <w:b w:val="0"/>
          <w:color w:val="000000"/>
          <w:sz w:val="32"/>
        </w:rPr>
        <w:t>（一）自定义技能放在哪</w:t>
      </w:r>
    </w:p>
    <w:p w14:paraId="35992584">
      <w:pPr>
        <w:keepNext w:val="0"/>
        <w:spacing w:lineRule="exact" w:line="576" w:before="0" w:after="0"/>
        <w:ind w:firstLine="640"/>
        <w:jc w:val="both"/>
      </w:pPr>
      <w:r>
        <w:t>教师自建技能放在实际数据根下的 dsh-home\skills\&lt;技能 id&gt;\SKILL.md；默认数据根为 %APPDATA%\慧教智研，受限环境可能自动回退到其他可写位置，以“文件 → 打开数据目录”为准。平台启动时自动发现，无需重启；与随包技能同名时随包技能优先。最小可用的 SKILL.md 只需两行 frontmatter 加正文。</w:t>
      </w:r>
    </w:p>
    <w:p w14:paraId="599FAEC4">
      <w:pPr>
        <w:keepNext w:val="0"/>
        <w:spacing w:lineRule="exact" w:line="576" w:before="0" w:after="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---</w:t>
      </w:r>
    </w:p>
    <w:p w14:paraId="3296243C">
      <w:pPr>
        <w:keepNext w:val="0"/>
        <w:spacing w:lineRule="exact" w:line="576" w:before="0" w:after="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name: my-lesson-style</w:t>
      </w:r>
    </w:p>
    <w:p w14:paraId="3541F6EC">
      <w:pPr>
        <w:keepNext w:val="0"/>
        <w:spacing w:lineRule="exact" w:line="576" w:before="0" w:after="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description: 我用的一节课怎么备（中文触发词写清楚，便于命中）</w:t>
      </w:r>
    </w:p>
    <w:p w14:paraId="2BF48A00">
      <w:pPr>
        <w:keepNext w:val="0"/>
        <w:spacing w:lineRule="exact" w:line="576" w:before="0" w:after="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---</w:t>
      </w:r>
    </w:p>
    <w:p w14:paraId="66A60BEC">
      <w:pPr>
        <w:keepNext w:val="0"/>
        <w:spacing w:lineRule="exact" w:line="576" w:before="0" w:after="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 xml:space="preserve">　</w:t>
      </w:r>
    </w:p>
    <w:p w14:paraId="07D444C4">
      <w:pPr>
        <w:keepNext w:val="0"/>
        <w:spacing w:lineRule="exact" w:line="576" w:before="0" w:after="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## 何时使用</w:t>
      </w:r>
    </w:p>
    <w:p w14:paraId="717DCB94">
      <w:pPr>
        <w:keepNext w:val="0"/>
        <w:spacing w:lineRule="exact" w:line="576" w:before="0" w:after="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教某门课某单元的备课时使用。</w:t>
      </w:r>
    </w:p>
    <w:p w14:paraId="7963BFC2">
      <w:pPr>
        <w:keepNext w:val="0"/>
        <w:spacing w:lineRule="exact" w:line="576" w:before="0" w:after="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 xml:space="preserve">　</w:t>
      </w:r>
    </w:p>
    <w:p w14:paraId="493FC8A2">
      <w:pPr>
        <w:keepNext w:val="0"/>
        <w:spacing w:lineRule="exact" w:line="576" w:before="0" w:after="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## 步骤</w:t>
      </w:r>
    </w:p>
    <w:p w14:paraId="752F7F54">
      <w:pPr>
        <w:keepNext w:val="0"/>
        <w:spacing w:lineRule="exact" w:line="576" w:before="0" w:after="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1. 先对齐……</w:t>
      </w:r>
    </w:p>
    <w:p w14:paraId="305DB536">
      <w:pPr>
        <w:keepNext w:val="0"/>
        <w:spacing w:lineRule="exact" w:line="576" w:before="0" w:after="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2. 再产出……</w:t>
      </w:r>
    </w:p>
    <w:p w14:paraId="6C04CB38">
      <w:pPr>
        <w:keepNext w:val="0"/>
        <w:spacing w:lineRule="exact" w:line="576" w:before="0" w:after="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 xml:space="preserve">　</w:t>
      </w:r>
    </w:p>
    <w:p w14:paraId="2FC08F26">
      <w:pPr>
        <w:keepNext w:val="0"/>
        <w:spacing w:lineRule="exact" w:line="576" w:before="0" w:after="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## 产出物</w:t>
      </w:r>
    </w:p>
    <w:p w14:paraId="6D1B8CC0">
      <w:pPr>
        <w:keepNext w:val="0"/>
        <w:spacing w:lineRule="exact" w:line="576" w:before="0" w:after="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教案（Word）+ 课件（PPT 与 HTML 网页版）。</w:t>
      </w:r>
    </w:p>
    <w:p w14:paraId="01F6208A">
      <w:pPr>
        <w:keepNext w:val="0"/>
        <w:spacing w:lineRule="exact" w:line="576" w:before="0" w:after="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 xml:space="preserve">　</w:t>
      </w:r>
    </w:p>
    <w:p w14:paraId="696FAC72">
      <w:pPr>
        <w:keepNext w:val="0"/>
        <w:spacing w:lineRule="exact" w:line="576" w:before="0" w:after="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## 质量标准</w:t>
      </w:r>
    </w:p>
    <w:p w14:paraId="45ADB60C">
      <w:pPr>
        <w:keepNext w:val="0"/>
        <w:spacing w:lineRule="exact" w:line="576" w:before="0" w:after="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目标可测、活动可执行。</w:t>
      </w:r>
    </w:p>
    <w:p w14:paraId="4E66068E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写技能的关键是把“你的做法”写成可执行步骤与验收标准，而不是写成一段理念；描述里写清触发场景关键词，命中率才高。技能正文尽量引用相对路径，不要写死本机绝对路径。</w:t>
      </w:r>
    </w:p>
    <w:p w14:paraId="3A68EB30">
      <w:pPr>
        <w:keepNext/>
        <w:spacing w:lineRule="exact" w:line="576" w:before="0" w:after="0"/>
        <w:ind w:firstLine="640"/>
        <w:jc w:val="both"/>
      </w:pPr>
      <w:r>
        <w:rPr>
          <w:rFonts w:ascii="Times New Roman" w:hAnsi="Times New Roman" w:eastAsia="楷体_GB2312" w:cs="Times New Roman"/>
          <w:b w:val="0"/>
          <w:color w:val="000000"/>
          <w:sz w:val="32"/>
        </w:rPr>
        <w:t>（二）修改权限模式</w:t>
      </w:r>
    </w:p>
    <w:p w14:paraId="5A4BABD6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两种改法：一是在“设置 → 通用”里改默认权限预设，影响之后新建的会话；二是在会话输入区的 /permission 选择器里切换当前会话。四档预设的区别见下表。</w:t>
      </w:r>
    </w:p>
    <w:p w14:paraId="54B5E59E">
      <w:pPr>
        <w:keepNext/>
        <w:spacing w:lineRule="exact" w:line="576" w:before="120" w:after="60"/>
        <w:jc w:val="center"/>
      </w:pPr>
      <w:r>
        <w:rPr>
          <w:rFonts w:ascii="Times New Roman" w:hAnsi="Times New Roman" w:eastAsia="宋体" w:cs="Times New Roman"/>
          <w:b w:val="0"/>
          <w:color w:val="000000"/>
          <w:sz w:val="21"/>
        </w:rPr>
        <w:t>表3  权限预设与适用场景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48"/>
        <w:gridCol w:w="2948"/>
        <w:gridCol w:w="2948"/>
      </w:tblGrid>
      <w:tr>
        <w:tc>
          <w:tcPr>
            <w:tcW w:type="dxa" w:w="2494"/>
          </w:tcPr>
          <w:p w14:paraId="0F5DE430">
            <w:pPr>
              <w:keepNext w:val="0"/>
              <w:spacing w:lineRule="exact" w:line="576" w:before="0" w:after="0"/>
              <w:jc w:val="center"/>
            </w:pPr>
            <w:r/>
            <w:r>
              <w:rPr>
                <w:rFonts w:ascii="Times New Roman" w:hAnsi="Times New Roman" w:eastAsia="宋体" w:cs="Times New Roman"/>
                <w:b/>
                <w:color w:val="000000"/>
                <w:sz w:val="21"/>
              </w:rPr>
              <w:t>预设</w:t>
            </w:r>
          </w:p>
        </w:tc>
        <w:tc>
          <w:tcPr>
            <w:tcW w:type="dxa" w:w="3628"/>
          </w:tcPr>
          <w:p w14:paraId="601F90CA">
            <w:pPr>
              <w:keepNext w:val="0"/>
              <w:spacing w:lineRule="exact" w:line="576" w:before="0" w:after="0"/>
              <w:jc w:val="center"/>
            </w:pPr>
            <w:r/>
            <w:r>
              <w:rPr>
                <w:rFonts w:ascii="Times New Roman" w:hAnsi="Times New Roman" w:eastAsia="宋体" w:cs="Times New Roman"/>
                <w:b/>
                <w:color w:val="000000"/>
                <w:sz w:val="21"/>
              </w:rPr>
              <w:t>能做什么</w:t>
            </w:r>
          </w:p>
        </w:tc>
        <w:tc>
          <w:tcPr>
            <w:tcW w:type="dxa" w:w="2608"/>
          </w:tcPr>
          <w:p w14:paraId="72A38D30">
            <w:pPr>
              <w:keepNext w:val="0"/>
              <w:spacing w:lineRule="exact" w:line="576" w:before="0" w:after="0"/>
              <w:jc w:val="center"/>
            </w:pPr>
            <w:r/>
            <w:r>
              <w:rPr>
                <w:rFonts w:ascii="Times New Roman" w:hAnsi="Times New Roman" w:eastAsia="宋体" w:cs="Times New Roman"/>
                <w:b/>
                <w:color w:val="000000"/>
                <w:sz w:val="21"/>
              </w:rPr>
              <w:t>什么时候用</w:t>
            </w:r>
          </w:p>
        </w:tc>
      </w:tr>
      <w:tr>
        <w:tc>
          <w:tcPr>
            <w:tcW w:type="dxa" w:w="2494"/>
          </w:tcPr>
          <w:p w14:paraId="6316DACE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只读</w:t>
            </w:r>
          </w:p>
        </w:tc>
        <w:tc>
          <w:tcPr>
            <w:tcW w:type="dxa" w:w="3628"/>
          </w:tcPr>
          <w:p w14:paraId="2CAD2584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只读取文件，写入需逐条确认</w:t>
            </w:r>
          </w:p>
        </w:tc>
        <w:tc>
          <w:tcPr>
            <w:tcW w:type="dxa" w:w="2608"/>
          </w:tcPr>
          <w:p w14:paraId="2842C4CC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只想让智能体读材料、不改文件</w:t>
            </w:r>
          </w:p>
        </w:tc>
      </w:tr>
      <w:tr>
        <w:tc>
          <w:tcPr>
            <w:tcW w:type="dxa" w:w="2494"/>
          </w:tcPr>
          <w:p w14:paraId="683B4DD6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工作区写入（逐条确认）</w:t>
            </w:r>
          </w:p>
        </w:tc>
        <w:tc>
          <w:tcPr>
            <w:tcW w:type="dxa" w:w="3628"/>
          </w:tcPr>
          <w:p w14:paraId="62446390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可在工作区内写，但每次写入要你点确认</w:t>
            </w:r>
          </w:p>
        </w:tc>
        <w:tc>
          <w:tcPr>
            <w:tcW w:type="dxa" w:w="2608"/>
          </w:tcPr>
          <w:p w14:paraId="0E0B01BE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希望每次改动都人工把关</w:t>
            </w:r>
          </w:p>
        </w:tc>
      </w:tr>
      <w:tr>
        <w:tc>
          <w:tcPr>
            <w:tcW w:type="dxa" w:w="2494"/>
          </w:tcPr>
          <w:p w14:paraId="73CC72A8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教师模式（推荐，默认）</w:t>
            </w:r>
          </w:p>
        </w:tc>
        <w:tc>
          <w:tcPr>
            <w:tcW w:type="dxa" w:w="3628"/>
          </w:tcPr>
          <w:p w14:paraId="4B117374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只在工作区内读写，不弹窗打断</w:t>
            </w:r>
          </w:p>
        </w:tc>
        <w:tc>
          <w:tcPr>
            <w:tcW w:type="dxa" w:w="2608"/>
          </w:tcPr>
          <w:p w14:paraId="0B9BD706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日常备课：效率与安全平衡</w:t>
            </w:r>
          </w:p>
        </w:tc>
      </w:tr>
      <w:tr>
        <w:tc>
          <w:tcPr>
            <w:tcW w:type="dxa" w:w="2494"/>
          </w:tcPr>
          <w:p w14:paraId="3FAAEA1E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完全访问（不推荐）</w:t>
            </w:r>
          </w:p>
        </w:tc>
        <w:tc>
          <w:tcPr>
            <w:tcW w:type="dxa" w:w="3628"/>
          </w:tcPr>
          <w:p w14:paraId="3C7A62A8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全盘读写且不询问</w:t>
            </w:r>
          </w:p>
        </w:tc>
        <w:tc>
          <w:tcPr>
            <w:tcW w:type="dxa" w:w="2608"/>
          </w:tcPr>
          <w:p w14:paraId="0DAC2472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确需处理工作区外文件时临时使用</w:t>
            </w:r>
          </w:p>
        </w:tc>
      </w:tr>
    </w:tbl>
    <w:p w14:paraId="3F428020"/>
    <w:p w14:paraId="14D1228C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原则：默认保持“教师模式”；只有确实要读写工作区外的文件时才临时切到“完全访问”，用完立即切回。切到完全访问时平台会要求你确认风险。</w:t>
      </w:r>
    </w:p>
    <w:p w14:paraId="1292F3AE">
      <w:pPr>
        <w:keepNext/>
        <w:spacing w:lineRule="exact" w:line="576" w:before="0" w:after="0"/>
        <w:ind w:firstLine="640"/>
        <w:jc w:val="both"/>
      </w:pPr>
      <w:r>
        <w:rPr>
          <w:rFonts w:ascii="Times New Roman" w:hAnsi="Times New Roman" w:eastAsia="楷体_GB2312" w:cs="Times New Roman"/>
          <w:b w:val="0"/>
          <w:color w:val="000000"/>
          <w:sz w:val="32"/>
        </w:rPr>
        <w:t>（三）备份与迁移</w:t>
      </w:r>
    </w:p>
    <w:p w14:paraId="4C193B4A">
      <w:pPr>
        <w:keepNext w:val="0"/>
        <w:spacing w:lineRule="exact" w:line="576" w:before="0" w:after="0"/>
        <w:ind w:firstLine="640"/>
        <w:jc w:val="both"/>
      </w:pPr>
      <w:r>
        <w:t>备份对象是实际数据根下的 dsh-home（含配置、技能与会话）以及当前教研工作区（含课程成果）。做法：先退出平台，再整体复制这些目录；恢复时复制到新平台对应的数据根与工作区后启动即可。实际位置可用“文件 → 打开数据目录”和界面工作区入口确认。安装目录不用备份，重新安装即可获得。建议每学期末做一次全量备份，重要课程在提交评审前另存一份只读副本。</w:t>
      </w:r>
    </w:p>
    <w:p w14:paraId="5421AA5E">
      <w:pPr>
        <w:keepNext/>
        <w:spacing w:lineRule="exact" w:line="576" w:before="0" w:after="0"/>
        <w:ind w:firstLine="640"/>
        <w:jc w:val="both"/>
      </w:pPr>
      <w:r>
        <w:rPr>
          <w:rFonts w:ascii="Times New Roman" w:hAnsi="Times New Roman" w:eastAsia="楷体_GB2312" w:cs="Times New Roman"/>
          <w:b w:val="0"/>
          <w:color w:val="000000"/>
          <w:sz w:val="32"/>
        </w:rPr>
        <w:t>（四）把 Word / PPT 转成 PDF</w:t>
      </w:r>
    </w:p>
    <w:p w14:paraId="2E797DDC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平台本身不做 PDF 转换，但本机可用 Python 库与 LibreOffice 完成：Word 用 python-docx 读写、PPT 用 python-pptx；转 PDF 可调用本机已安装的 LibreOffice（命令行 --headless --convert-to pdf）。直接对智能体说“把 02-课件 里的 PPTX 全部转成 PDF 放到同目录”，它会用本机工具完成并自检文件签名。</w:t>
      </w:r>
    </w:p>
    <w:p w14:paraId="334F5A32">
      <w:pPr>
        <w:keepNext/>
        <w:spacing w:lineRule="exact" w:line="576" w:before="0" w:after="0"/>
        <w:ind w:firstLine="640"/>
        <w:jc w:val="both"/>
      </w:pPr>
      <w:r>
        <w:t>（五）插件管理与扩展</w:t>
      </w:r>
    </w:p>
    <w:p w14:paraId="07DF5586">
      <w:pPr>
        <w:keepNext w:val="0"/>
        <w:spacing w:lineRule="exact" w:line="576" w:before="0" w:after="0"/>
        <w:ind w:firstLine="640"/>
        <w:jc w:val="both"/>
      </w:pPr>
      <w:r>
        <w:t>平台保留 DSH 的插件管理与扩展能力，侧边栏“插件”入口可直接使用。安装第三方插件可能改变界面、工具链或启动依赖，建议先备份实际数据根，只安装来源可信且与当前 DSH 版本兼容的插件；若安装后异常，退出平台并恢复备份，或在插件管理中移除对应插件。</w:t>
      </w:r>
    </w:p>
    <w:p w14:paraId="4098BFC4">
      <w:pPr>
        <w:keepNext/>
        <w:spacing w:lineRule="exact" w:line="576" w:before="120" w:after="0"/>
        <w:ind w:firstLine="640"/>
        <w:jc w:val="both"/>
      </w:pPr>
      <w:r>
        <w:rPr>
          <w:rFonts w:ascii="Times New Roman" w:hAnsi="Times New Roman" w:eastAsia="黑体" w:cs="Times New Roman"/>
          <w:b w:val="0"/>
          <w:color w:val="000000"/>
          <w:sz w:val="32"/>
        </w:rPr>
        <w:t>七、常见问题</w:t>
      </w:r>
    </w:p>
    <w:p w14:paraId="6EC17944">
      <w:pPr>
        <w:keepNext/>
        <w:spacing w:lineRule="exact" w:line="576" w:before="120" w:after="60"/>
        <w:jc w:val="center"/>
      </w:pPr>
      <w:r>
        <w:rPr>
          <w:rFonts w:ascii="Times New Roman" w:hAnsi="Times New Roman" w:eastAsia="宋体" w:cs="Times New Roman"/>
          <w:b w:val="0"/>
          <w:color w:val="000000"/>
          <w:sz w:val="21"/>
        </w:rPr>
        <w:t>表4  常见问题速查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48"/>
        <w:gridCol w:w="2948"/>
        <w:gridCol w:w="2948"/>
      </w:tblGrid>
      <w:tr>
        <w:tc>
          <w:tcPr>
            <w:tcW w:type="dxa" w:w="2381"/>
          </w:tcPr>
          <w:p w14:paraId="52269712">
            <w:pPr>
              <w:keepNext w:val="0"/>
              <w:spacing w:lineRule="exact" w:line="576" w:before="0" w:after="0"/>
              <w:jc w:val="center"/>
            </w:pPr>
            <w:r/>
            <w:r>
              <w:rPr>
                <w:rFonts w:ascii="Times New Roman" w:hAnsi="Times New Roman" w:eastAsia="宋体" w:cs="Times New Roman"/>
                <w:b/>
                <w:color w:val="000000"/>
                <w:sz w:val="21"/>
              </w:rPr>
              <w:t>现象</w:t>
            </w:r>
          </w:p>
        </w:tc>
        <w:tc>
          <w:tcPr>
            <w:tcW w:type="dxa" w:w="2835"/>
          </w:tcPr>
          <w:p w14:paraId="6ACBF44A">
            <w:pPr>
              <w:keepNext w:val="0"/>
              <w:spacing w:lineRule="exact" w:line="576" w:before="0" w:after="0"/>
              <w:jc w:val="center"/>
            </w:pPr>
            <w:r/>
            <w:r>
              <w:rPr>
                <w:rFonts w:ascii="Times New Roman" w:hAnsi="Times New Roman" w:eastAsia="宋体" w:cs="Times New Roman"/>
                <w:b/>
                <w:color w:val="000000"/>
                <w:sz w:val="21"/>
              </w:rPr>
              <w:t>可能原因</w:t>
            </w:r>
          </w:p>
        </w:tc>
        <w:tc>
          <w:tcPr>
            <w:tcW w:type="dxa" w:w="3515"/>
          </w:tcPr>
          <w:p w14:paraId="5B921C8A">
            <w:pPr>
              <w:keepNext w:val="0"/>
              <w:spacing w:lineRule="exact" w:line="576" w:before="0" w:after="0"/>
              <w:jc w:val="center"/>
            </w:pPr>
            <w:r/>
            <w:r>
              <w:rPr>
                <w:rFonts w:ascii="Times New Roman" w:hAnsi="Times New Roman" w:eastAsia="宋体" w:cs="Times New Roman"/>
                <w:b/>
                <w:color w:val="000000"/>
                <w:sz w:val="21"/>
              </w:rPr>
              <w:t>处理办法</w:t>
            </w:r>
          </w:p>
        </w:tc>
      </w:tr>
      <w:tr>
        <w:tc>
          <w:tcPr>
            <w:tcW w:type="dxa" w:w="2381"/>
          </w:tcPr>
          <w:p w14:paraId="2EC0930E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智能体回答“未配置密钥”或调用失败</w:t>
            </w:r>
          </w:p>
        </w:tc>
        <w:tc>
          <w:tcPr>
            <w:tcW w:type="dxa" w:w="2835"/>
          </w:tcPr>
          <w:p w14:paraId="3BF59CDE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模型密钥未保存、余额不足、模型名失效</w:t>
            </w:r>
          </w:p>
        </w:tc>
        <w:tc>
          <w:tcPr>
            <w:tcW w:type="dxa" w:w="3515"/>
          </w:tcPr>
          <w:p w14:paraId="031DCCF0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设置 → 模型重新保存密钥；核对模型名是否仍在可用列表；检查网络</w:t>
            </w:r>
          </w:p>
        </w:tc>
      </w:tr>
      <w:tr>
        <w:tc>
          <w:tcPr>
            <w:tcW w:type="dxa" w:w="2381"/>
          </w:tcPr>
          <w:p w14:paraId="15644D50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输入 / 没有弹出候选菜单</w:t>
            </w:r>
          </w:p>
        </w:tc>
        <w:tc>
          <w:tcPr>
            <w:tcW w:type="dxa" w:w="2835"/>
          </w:tcPr>
          <w:p w14:paraId="560431C0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输入法全角斜杠或光标不在输入框</w:t>
            </w:r>
          </w:p>
        </w:tc>
        <w:tc>
          <w:tcPr>
            <w:tcW w:type="dxa" w:w="3515"/>
          </w:tcPr>
          <w:p w14:paraId="21C7FEC2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切半角输入法与英文标点后再键入 /</w:t>
            </w:r>
          </w:p>
        </w:tc>
      </w:tr>
      <w:tr>
        <w:tc>
          <w:tcPr>
            <w:tcW w:type="dxa" w:w="2381"/>
          </w:tcPr>
          <w:p w14:paraId="24D38868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生成的文件找不到</w:t>
            </w:r>
          </w:p>
        </w:tc>
        <w:tc>
          <w:tcPr>
            <w:tcW w:type="dxa" w:w="2835"/>
          </w:tcPr>
          <w:p w14:paraId="784026CA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写到了会话当时的工作区，而非你预期的目录</w:t>
            </w:r>
          </w:p>
        </w:tc>
        <w:tc>
          <w:tcPr>
            <w:tcW w:type="dxa" w:w="3515"/>
          </w:tcPr>
          <w:p w14:paraId="51F3EE1E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右栏文件树按会话工作区查看；或让智能体“把成果复制到指定目录”</w:t>
            </w:r>
          </w:p>
        </w:tc>
      </w:tr>
      <w:tr>
        <w:tc>
          <w:tcPr>
            <w:tcW w:type="dxa" w:w="2381"/>
          </w:tcPr>
          <w:p w14:paraId="3D8F1ED4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界面卡住或白屏</w:t>
            </w:r>
          </w:p>
        </w:tc>
        <w:tc>
          <w:tcPr>
            <w:tcW w:type="dxa" w:w="2835"/>
          </w:tcPr>
          <w:p w14:paraId="55E6C474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渲染异常、内核异常退出</w:t>
            </w:r>
          </w:p>
        </w:tc>
        <w:tc>
          <w:tcPr>
            <w:tcW w:type="dxa" w:w="3515"/>
          </w:tcPr>
          <w:p w14:paraId="5C7BE3DE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视图 → 刷新；仍异常按 F12 看控制台；必要时重启平台</w:t>
            </w:r>
          </w:p>
        </w:tc>
      </w:tr>
      <w:tr>
        <w:tc>
          <w:tcPr>
            <w:tcW w:type="dxa" w:w="2381"/>
          </w:tcPr>
          <w:p w14:paraId="21919B7A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历史会话不见了</w:t>
            </w:r>
          </w:p>
        </w:tc>
        <w:tc>
          <w:tcPr>
            <w:tcW w:type="dxa" w:w="2835"/>
          </w:tcPr>
          <w:p w14:paraId="0088DCFC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切换了工作区或 Windows 用户账户</w:t>
            </w:r>
          </w:p>
        </w:tc>
        <w:tc>
          <w:tcPr>
            <w:tcW w:type="dxa" w:w="3515"/>
          </w:tcPr>
          <w:p w14:paraId="490C641A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侧边栏切换回原工作区；确认使用同一 Windows 用户登录</w:t>
            </w:r>
          </w:p>
        </w:tc>
      </w:tr>
      <w:tr>
        <w:tc>
          <w:tcPr>
            <w:tcW w:type="dxa" w:w="2381"/>
          </w:tcPr>
          <w:p w14:paraId="60658D2A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生成速度慢或中断</w:t>
            </w:r>
          </w:p>
        </w:tc>
        <w:tc>
          <w:tcPr>
            <w:tcW w:type="dxa" w:w="2835"/>
          </w:tcPr>
          <w:p w14:paraId="518B4612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模型服务拥塞、网络抖动、任务过大</w:t>
            </w:r>
          </w:p>
        </w:tc>
        <w:tc>
          <w:tcPr>
            <w:tcW w:type="dxa" w:w="3515"/>
          </w:tcPr>
          <w:p w14:paraId="33D7CC9C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拆小任务分单元产出；长任务可让智能体先生成骨架再逐单元补全</w:t>
            </w:r>
          </w:p>
        </w:tc>
      </w:tr>
      <w:tr>
        <w:tc>
          <w:tcPr>
            <w:tcW w:type="dxa" w:w="2381"/>
          </w:tcPr>
          <w:p w14:paraId="2A5C3780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文件被拒绝写入</w:t>
            </w:r>
          </w:p>
        </w:tc>
        <w:tc>
          <w:tcPr>
            <w:tcW w:type="dxa" w:w="2835"/>
          </w:tcPr>
          <w:p w14:paraId="4547F1F4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超出当前工作区（教师模式沙箱）</w:t>
            </w:r>
          </w:p>
        </w:tc>
        <w:tc>
          <w:tcPr>
            <w:tcW w:type="dxa" w:w="3515"/>
          </w:tcPr>
          <w:p w14:paraId="78DF569E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把结论保存到工作区内，或临时切换权限预设后重试</w:t>
            </w:r>
          </w:p>
        </w:tc>
      </w:tr>
      <w:tr>
        <w:tc>
          <w:tcPr>
            <w:tcW w:type="dxa" w:w="2381"/>
          </w:tcPr>
          <w:p w14:paraId="6CF3D3B4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审查结论是“不通过”</w:t>
            </w:r>
          </w:p>
        </w:tc>
        <w:tc>
          <w:tcPr>
            <w:tcW w:type="dxa" w:w="2835"/>
          </w:tcPr>
          <w:p w14:paraId="7A1EE146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存在不通过项（格式/事实/占位文本等）</w:t>
            </w:r>
          </w:p>
        </w:tc>
        <w:tc>
          <w:tcPr>
            <w:tcW w:type="dxa" w:w="3515"/>
          </w:tcPr>
          <w:p w14:paraId="118B1C94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按报告“必改清单”逐条修，改完重跑审查，不得沿用旧结论</w:t>
            </w:r>
          </w:p>
        </w:tc>
      </w:tr>
    </w:tbl>
    <w:p w14:paraId="3956E216"/>
    <w:p w14:paraId="49A62E1C">
      <w:pPr>
        <w:keepNext w:val="0"/>
        <w:spacing w:lineRule="exact" w:line="576" w:before="0" w:after="0"/>
        <w:ind w:firstLine="640"/>
        <w:jc w:val="both"/>
      </w:pPr>
      <w:r>
        <w:t>排障时最有用的材料是：当前会话的输入与产出、实际数据根下的 logs\shell.log，以及交付包里的《验证报告》。数据根默认是 %APPDATA%\慧教智研，实际位置以“文件 → 打开日志目录”为准。反馈问题时一并提供这些材料可显著缩短定位时间。</w:t>
      </w:r>
    </w:p>
    <w:p w14:paraId="51D18602">
      <w:pPr>
        <w:keepNext/>
        <w:spacing w:lineRule="exact" w:line="576" w:before="120" w:after="0"/>
        <w:ind w:firstLine="640"/>
        <w:jc w:val="both"/>
      </w:pPr>
      <w:r>
        <w:rPr>
          <w:rFonts w:ascii="Times New Roman" w:hAnsi="Times New Roman" w:eastAsia="黑体" w:cs="Times New Roman"/>
          <w:b w:val="0"/>
          <w:color w:val="000000"/>
          <w:sz w:val="32"/>
        </w:rPr>
        <w:t>附录一  技能分类速查</w:t>
      </w:r>
    </w:p>
    <w:p w14:paraId="5E6F3C04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下表按任务给出代表技能与主要产出，用于“知道该找哪一类技能”。技能 id 可直接键入“/”后选择，或在需求里点名。</w:t>
      </w:r>
    </w:p>
    <w:p w14:paraId="23A78A46">
      <w:pPr>
        <w:keepNext/>
        <w:spacing w:lineRule="exact" w:line="576" w:before="120" w:after="60"/>
        <w:jc w:val="center"/>
      </w:pPr>
      <w:r>
        <w:rPr>
          <w:rFonts w:ascii="Times New Roman" w:hAnsi="Times New Roman" w:eastAsia="宋体" w:cs="Times New Roman"/>
          <w:b w:val="0"/>
          <w:color w:val="000000"/>
          <w:sz w:val="21"/>
        </w:rPr>
        <w:t>表5  技能分类速查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48"/>
        <w:gridCol w:w="2948"/>
        <w:gridCol w:w="2948"/>
      </w:tblGrid>
      <w:tr>
        <w:tc>
          <w:tcPr>
            <w:tcW w:type="dxa" w:w="1814"/>
          </w:tcPr>
          <w:p w14:paraId="29B5011C">
            <w:pPr>
              <w:keepNext w:val="0"/>
              <w:spacing w:lineRule="exact" w:line="576" w:before="0" w:after="0"/>
              <w:jc w:val="center"/>
            </w:pPr>
            <w:r/>
            <w:r>
              <w:rPr>
                <w:rFonts w:ascii="Times New Roman" w:hAnsi="Times New Roman" w:eastAsia="宋体" w:cs="Times New Roman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4309"/>
          </w:tcPr>
          <w:p w14:paraId="03AD5276">
            <w:pPr>
              <w:keepNext w:val="0"/>
              <w:spacing w:lineRule="exact" w:line="576" w:before="0" w:after="0"/>
              <w:jc w:val="center"/>
            </w:pPr>
            <w:r/>
            <w:r>
              <w:rPr>
                <w:rFonts w:ascii="Times New Roman" w:hAnsi="Times New Roman" w:eastAsia="宋体" w:cs="Times New Roman"/>
                <w:b/>
                <w:color w:val="000000"/>
                <w:sz w:val="21"/>
              </w:rPr>
              <w:t>代表技能</w:t>
            </w:r>
          </w:p>
        </w:tc>
        <w:tc>
          <w:tcPr>
            <w:tcW w:type="dxa" w:w="2608"/>
          </w:tcPr>
          <w:p w14:paraId="1B0E7C00">
            <w:pPr>
              <w:keepNext w:val="0"/>
              <w:spacing w:lineRule="exact" w:line="576" w:before="0" w:after="0"/>
              <w:jc w:val="center"/>
            </w:pPr>
            <w:r/>
            <w:r>
              <w:rPr>
                <w:rFonts w:ascii="Times New Roman" w:hAnsi="Times New Roman" w:eastAsia="宋体" w:cs="Times New Roman"/>
                <w:b/>
                <w:color w:val="000000"/>
                <w:sz w:val="21"/>
              </w:rPr>
              <w:t>主要产出</w:t>
            </w:r>
          </w:p>
        </w:tc>
      </w:tr>
      <w:tr>
        <w:tc>
          <w:tcPr>
            <w:tcW w:type="dxa" w:w="1814"/>
          </w:tcPr>
          <w:p w14:paraId="01A6BF54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课程设计</w:t>
            </w:r>
          </w:p>
        </w:tc>
        <w:tc>
          <w:tcPr>
            <w:tcW w:type="dxa" w:w="4309"/>
          </w:tcPr>
          <w:p w14:paraId="2B7B747E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course-builder、syllabus、lesson-plan、obe-objective-mapper、teaching-calendar</w:t>
            </w:r>
          </w:p>
        </w:tc>
        <w:tc>
          <w:tcPr>
            <w:tcW w:type="dxa" w:w="2608"/>
          </w:tcPr>
          <w:p w14:paraId="0A2DE40E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课程建设方案、教学大纲、教案、OBE 目标映射、教学进度</w:t>
            </w:r>
          </w:p>
        </w:tc>
      </w:tr>
      <w:tr>
        <w:tc>
          <w:tcPr>
            <w:tcW w:type="dxa" w:w="1814"/>
          </w:tcPr>
          <w:p w14:paraId="37D60F2A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内容制作</w:t>
            </w:r>
          </w:p>
        </w:tc>
        <w:tc>
          <w:tcPr>
            <w:tcW w:type="dxa" w:w="4309"/>
          </w:tcPr>
          <w:p w14:paraId="5525A56A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html-ppt-deck、web-courseware-builder、interactive-classroom-studio、whiteboard-teaching、inclass-quiz-maker、question-bank-builder</w:t>
            </w:r>
          </w:p>
        </w:tc>
        <w:tc>
          <w:tcPr>
            <w:tcW w:type="dxa" w:w="2608"/>
          </w:tcPr>
          <w:p w14:paraId="19F66B64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课件（PPT + 离线 HTML）、互动课堂、白板板书、随堂测、题库</w:t>
            </w:r>
          </w:p>
        </w:tc>
      </w:tr>
      <w:tr>
        <w:tc>
          <w:tcPr>
            <w:tcW w:type="dxa" w:w="1814"/>
          </w:tcPr>
          <w:p w14:paraId="0860B7C0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教学法与课堂</w:t>
            </w:r>
          </w:p>
        </w:tc>
        <w:tc>
          <w:tcPr>
            <w:tcW w:type="dxa" w:w="4309"/>
          </w:tcPr>
          <w:p w14:paraId="742CF39A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understanding-by-design、feynman-learning、workshop-style、zone-of-proximal-development、scenario-teaching-lab</w:t>
            </w:r>
          </w:p>
        </w:tc>
        <w:tc>
          <w:tcPr>
            <w:tcW w:type="dxa" w:w="2608"/>
          </w:tcPr>
          <w:p w14:paraId="2A996D9C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逆向设计、费曼学习、工作坊课堂、最近发展区习题课、情景教学</w:t>
            </w:r>
          </w:p>
        </w:tc>
      </w:tr>
      <w:tr>
        <w:tc>
          <w:tcPr>
            <w:tcW w:type="dxa" w:w="1814"/>
          </w:tcPr>
          <w:p w14:paraId="0F923350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审查与质检</w:t>
            </w:r>
          </w:p>
        </w:tc>
        <w:tc>
          <w:tcPr>
            <w:tcW w:type="dxa" w:w="4309"/>
          </w:tcPr>
          <w:p w14:paraId="21B0DCD8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content-science-format-review、fact-check、course-quality-audit、references-gbt7714</w:t>
            </w:r>
          </w:p>
        </w:tc>
        <w:tc>
          <w:tcPr>
            <w:tcW w:type="dxa" w:w="2608"/>
          </w:tcPr>
          <w:p w14:paraId="6A430F5E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科学与形式审查报告、事实核查、课程质量审核、参考文献著录</w:t>
            </w:r>
          </w:p>
        </w:tc>
      </w:tr>
      <w:tr>
        <w:tc>
          <w:tcPr>
            <w:tcW w:type="dxa" w:w="1814"/>
          </w:tcPr>
          <w:p w14:paraId="07753CAA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教研与教创赛</w:t>
            </w:r>
          </w:p>
        </w:tc>
        <w:tc>
          <w:tcPr>
            <w:tcW w:type="dxa" w:w="4309"/>
          </w:tcPr>
          <w:p w14:paraId="3BB175E0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proposal-writer、literature-review、academic-polish、microlecture-script</w:t>
            </w:r>
          </w:p>
        </w:tc>
        <w:tc>
          <w:tcPr>
            <w:tcW w:type="dxa" w:w="2608"/>
          </w:tcPr>
          <w:p w14:paraId="27B644E6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申报书、文献综述、学术润色、微课脚本</w:t>
            </w:r>
          </w:p>
        </w:tc>
      </w:tr>
      <w:tr>
        <w:tc>
          <w:tcPr>
            <w:tcW w:type="dxa" w:w="1814"/>
          </w:tcPr>
          <w:p w14:paraId="084BB982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数字教材与排版</w:t>
            </w:r>
          </w:p>
        </w:tc>
        <w:tc>
          <w:tcPr>
            <w:tcW w:type="dxa" w:w="4309"/>
          </w:tcPr>
          <w:p w14:paraId="5A47B4E0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digital-textbook-humanities、jiaocaipaiban</w:t>
            </w:r>
          </w:p>
        </w:tc>
        <w:tc>
          <w:tcPr>
            <w:tcW w:type="dxa" w:w="2608"/>
          </w:tcPr>
          <w:p w14:paraId="08EF88AC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数字教材稿、教材级排版</w:t>
            </w:r>
          </w:p>
        </w:tc>
      </w:tr>
      <w:tr>
        <w:tc>
          <w:tcPr>
            <w:tcW w:type="dxa" w:w="1814"/>
          </w:tcPr>
          <w:p w14:paraId="2D0AD0DA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部署与运维</w:t>
            </w:r>
          </w:p>
        </w:tc>
        <w:tc>
          <w:tcPr>
            <w:tcW w:type="dxa" w:w="4309"/>
          </w:tcPr>
          <w:p w14:paraId="67B449AE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course-platform-deploy、course-platform-ops</w:t>
            </w:r>
          </w:p>
        </w:tc>
        <w:tc>
          <w:tcPr>
            <w:tcW w:type="dxa" w:w="2608"/>
          </w:tcPr>
          <w:p w14:paraId="1A15C8D8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内网部署与外网发布、备份恢复与回归（需本地 Node 环境）</w:t>
            </w:r>
          </w:p>
        </w:tc>
      </w:tr>
    </w:tbl>
    <w:p w14:paraId="4FF1C7F2"/>
    <w:p w14:paraId="4E6FEADA">
      <w:pPr>
        <w:keepNext/>
        <w:spacing w:lineRule="exact" w:line="576" w:before="120" w:after="0"/>
        <w:ind w:firstLine="640"/>
        <w:jc w:val="both"/>
      </w:pPr>
      <w:r>
        <w:rPr>
          <w:rFonts w:ascii="Times New Roman" w:hAnsi="Times New Roman" w:eastAsia="黑体" w:cs="Times New Roman"/>
          <w:b w:val="0"/>
          <w:color w:val="000000"/>
          <w:sz w:val="32"/>
        </w:rPr>
        <w:t>附录二  术语表</w:t>
      </w:r>
    </w:p>
    <w:p w14:paraId="0C3F0752">
      <w:pPr>
        <w:keepNext/>
        <w:spacing w:lineRule="exact" w:line="576" w:before="120" w:after="60"/>
        <w:jc w:val="center"/>
      </w:pPr>
      <w:r>
        <w:rPr>
          <w:rFonts w:ascii="Times New Roman" w:hAnsi="Times New Roman" w:eastAsia="宋体" w:cs="Times New Roman"/>
          <w:b w:val="0"/>
          <w:color w:val="000000"/>
          <w:sz w:val="21"/>
        </w:rPr>
        <w:t>表6  术语表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22"/>
        <w:gridCol w:w="4422"/>
      </w:tblGrid>
      <w:tr>
        <w:tc>
          <w:tcPr>
            <w:tcW w:type="dxa" w:w="2835"/>
          </w:tcPr>
          <w:p w14:paraId="7B521D6E">
            <w:pPr>
              <w:keepNext w:val="0"/>
              <w:spacing w:lineRule="exact" w:line="576" w:before="0" w:after="0"/>
              <w:jc w:val="center"/>
            </w:pPr>
            <w:r/>
            <w:r>
              <w:rPr>
                <w:rFonts w:ascii="Times New Roman" w:hAnsi="Times New Roman" w:eastAsia="宋体" w:cs="Times New Roman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5896"/>
          </w:tcPr>
          <w:p w14:paraId="5F9DFEF2">
            <w:pPr>
              <w:keepNext w:val="0"/>
              <w:spacing w:lineRule="exact" w:line="576" w:before="0" w:after="0"/>
              <w:jc w:val="center"/>
            </w:pPr>
            <w:r/>
            <w:r>
              <w:rPr>
                <w:rFonts w:ascii="Times New Roman" w:hAnsi="Times New Roman" w:eastAsia="宋体" w:cs="Times New Roman"/>
                <w:b/>
                <w:color w:val="000000"/>
                <w:sz w:val="21"/>
              </w:rPr>
              <w:t>含义</w:t>
            </w:r>
          </w:p>
        </w:tc>
      </w:tr>
      <w:tr>
        <w:tc>
          <w:tcPr>
            <w:tcW w:type="dxa" w:w="2835"/>
          </w:tcPr>
          <w:p w14:paraId="5C237B08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技能（skill）</w:t>
            </w:r>
          </w:p>
        </w:tc>
        <w:tc>
          <w:tcPr>
            <w:tcW w:type="dxa" w:w="5896"/>
          </w:tcPr>
          <w:p w14:paraId="3F0F87B6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以 SKILL.md 描述的任务方法论，任务开始时按需加载</w:t>
            </w:r>
          </w:p>
        </w:tc>
      </w:tr>
      <w:tr>
        <w:tc>
          <w:tcPr>
            <w:tcW w:type="dxa" w:w="2835"/>
          </w:tcPr>
          <w:p w14:paraId="6C0AF508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工作区</w:t>
            </w:r>
          </w:p>
        </w:tc>
        <w:tc>
          <w:tcPr>
            <w:tcW w:type="dxa" w:w="5896"/>
          </w:tcPr>
          <w:p w14:paraId="56CFE6EC">
            <w:pPr>
              <w:keepNext w:val="0"/>
              <w:spacing w:lineRule="exact" w:line="576" w:before="0" w:after="0"/>
              <w:jc w:val="left"/>
            </w:pPr>
            <w:r>
              <w:t>智能体可读写的目录范围，默认是“我的文档\慧教智研教研工作区”</w:t>
            </w:r>
          </w:p>
        </w:tc>
      </w:tr>
      <w:tr>
        <w:tc>
          <w:tcPr>
            <w:tcW w:type="dxa" w:w="2835"/>
          </w:tcPr>
          <w:p w14:paraId="59D88414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会话</w:t>
            </w:r>
          </w:p>
        </w:tc>
        <w:tc>
          <w:tcPr>
            <w:tcW w:type="dxa" w:w="5896"/>
          </w:tcPr>
          <w:p w14:paraId="0AEAC76A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一次完整的对话与产出过程，持久化保存在本机</w:t>
            </w:r>
          </w:p>
        </w:tc>
      </w:tr>
      <w:tr>
        <w:tc>
          <w:tcPr>
            <w:tcW w:type="dxa" w:w="2835"/>
          </w:tcPr>
          <w:p w14:paraId="3AFDFF16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模型控件 / /model</w:t>
            </w:r>
          </w:p>
        </w:tc>
        <w:tc>
          <w:tcPr>
            <w:tcW w:type="dxa" w:w="5896"/>
          </w:tcPr>
          <w:p w14:paraId="73F0FC82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切换当前会话使用的模型与推理强度</w:t>
            </w:r>
          </w:p>
        </w:tc>
      </w:tr>
      <w:tr>
        <w:tc>
          <w:tcPr>
            <w:tcW w:type="dxa" w:w="2835"/>
          </w:tcPr>
          <w:p w14:paraId="28B09832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权限预设 / /permission</w:t>
            </w:r>
          </w:p>
        </w:tc>
        <w:tc>
          <w:tcPr>
            <w:tcW w:type="dxa" w:w="5896"/>
          </w:tcPr>
          <w:p w14:paraId="1A561AAE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沙箱范围与审批策略的组合，默认“教师模式”</w:t>
            </w:r>
          </w:p>
        </w:tc>
      </w:tr>
      <w:tr>
        <w:tc>
          <w:tcPr>
            <w:tcW w:type="dxa" w:w="2835"/>
          </w:tcPr>
          <w:p w14:paraId="74B45CE8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指令卡片（Instructions）</w:t>
            </w:r>
          </w:p>
        </w:tc>
        <w:tc>
          <w:tcPr>
            <w:tcW w:type="dxa" w:w="5896"/>
          </w:tcPr>
          <w:p w14:paraId="54B90176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技能加载后在对话中显示的可展开方法论卡片</w:t>
            </w:r>
          </w:p>
        </w:tc>
      </w:tr>
      <w:tr>
        <w:tc>
          <w:tcPr>
            <w:tcW w:type="dxa" w:w="2835"/>
          </w:tcPr>
          <w:p w14:paraId="651CB9AE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审查台账</w:t>
            </w:r>
          </w:p>
        </w:tc>
        <w:tc>
          <w:tcPr>
            <w:tcW w:type="dxa" w:w="5896"/>
          </w:tcPr>
          <w:p w14:paraId="3C892402">
            <w:pPr>
              <w:keepNext w:val="0"/>
              <w:spacing w:lineRule="exact" w:line="576" w:before="0" w:after="0"/>
              <w:jc w:val="left"/>
            </w:pPr>
            <w:r/>
            <w:r>
              <w:rPr>
                <w:rFonts w:ascii="Times New Roman" w:hAnsi="Times New Roman" w:eastAsia="宋体" w:cs="Times New Roman"/>
                <w:b w:val="0"/>
                <w:color w:val="000000"/>
                <w:sz w:val="21"/>
              </w:rPr>
              <w:t>记录每次交付物审查结论的登记表，缺失即视为未审查</w:t>
            </w:r>
          </w:p>
        </w:tc>
      </w:tr>
    </w:tbl>
    <w:p w14:paraId="1F5303F2"/>
    <w:p w14:paraId="25FAC62C">
      <w:pPr>
        <w:keepNext w:val="0"/>
        <w:spacing w:lineRule="exact" w:line="576" w:before="0" w:after="0"/>
        <w:ind w:firstLine="640"/>
        <w:jc w:val="both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本手册所列技能数量、路径与预设均取自随包实际文件与出厂配置；如与后续版本有差异，以“帮助 → 关于”显示的版本与随包技能目录为准。</w:t>
      </w:r>
    </w:p>
    <w:p w14:paraId="0A51250A">
      <w:pPr>
        <w:keepNext w:val="0"/>
        <w:spacing w:lineRule="exact" w:line="576" w:before="120" w:after="0"/>
        <w:ind w:right="640"/>
        <w:jc w:val="right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慧教智研项目组</w:t>
      </w:r>
    </w:p>
    <w:p w14:paraId="37E06FE4">
      <w:pPr>
        <w:keepNext w:val="0"/>
        <w:spacing w:lineRule="exact" w:line="576" w:before="120" w:after="0"/>
        <w:ind w:right="1280"/>
        <w:jc w:val="right"/>
      </w:pPr>
      <w:r>
        <w:rPr>
          <w:rFonts w:ascii="Times New Roman" w:hAnsi="Times New Roman" w:eastAsia="仿宋_GB2312" w:cs="Times New Roman"/>
          <w:b w:val="0"/>
          <w:color w:val="000000"/>
          <w:sz w:val="32"/>
        </w:rPr>
        <w:t>2026年10月25日</w:t>
      </w:r>
    </w:p>
    <w:sectPr w:rsidR="00FC693F" w:rsidRPr="0006063C" w:rsidSect="00034616">
      <w:footerReference w:type="default" r:id="rId9"/>
      <w:footerReference w:type="even" r:id="rId10"/>
      <w:pgSz w:w="11906" w:h="16838"/>
      <w:pgMar w:top="2098" w:right="1474" w:bottom="1984" w:left="1587" w:header="113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w14:paraId="238B01B8">
    <w:pPr>
      <w:pStyle w:val="Footer"/>
      <w:keepNext w:val="0"/>
      <w:spacing w:line="240" w:lineRule="auto" w:before="0" w:after="0"/>
      <w:jc w:val="right"/>
    </w:pPr>
    <w:r>
      <w:rPr>
        <w:rFonts w:ascii="Times New Roman" w:hAnsi="Times New Roman" w:eastAsia="宋体" w:cs="Times New Roman"/>
        <w:b w:val="0"/>
        <w:color w:val="000000"/>
        <w:sz w:val="28"/>
      </w:rPr>
      <w:t xml:space="preserve">— </w:t>
    </w:r>
    <w:r>
      <w:rPr>
        <w:rFonts w:ascii="Times New Roman" w:hAnsi="Times New Roman" w:eastAsia="宋体" w:cs="Times New Roman"/>
        <w:b w:val="0"/>
        <w:color w:val="000000"/>
        <w:sz w:val="28"/>
      </w:rPr>
    </w:r>
    <w:fldSimple w:instr=" PAGE ">
      <w:r>
        <w:rPr>
          <w:rFonts w:ascii="Times New Roman" w:hAnsi="Times New Roman" w:eastAsia="宋体"/>
          <w:sz w:val="28"/>
        </w:rPr>
        <w:t>1</w:t>
      </w:r>
    </w:fldSimple>
    <w:r>
      <w:rPr>
        <w:rFonts w:ascii="Times New Roman" w:hAnsi="Times New Roman" w:eastAsia="宋体" w:cs="Times New Roman"/>
        <w:b w:val="0"/>
        <w:color w:val="000000"/>
        <w:sz w:val="28"/>
      </w:rPr>
      <w:t xml:space="preserve"> —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w14:paraId="0C12A14E">
    <w:pPr>
      <w:pStyle w:val="Footer"/>
      <w:keepNext w:val="0"/>
      <w:spacing w:line="240" w:lineRule="auto" w:before="0" w:after="0"/>
      <w:jc w:val="left"/>
    </w:pPr>
    <w:r>
      <w:rPr>
        <w:rFonts w:ascii="Times New Roman" w:hAnsi="Times New Roman" w:eastAsia="宋体" w:cs="Times New Roman"/>
        <w:b w:val="0"/>
        <w:color w:val="000000"/>
        <w:sz w:val="28"/>
      </w:rPr>
      <w:t xml:space="preserve">— </w:t>
    </w:r>
    <w:r>
      <w:rPr>
        <w:rFonts w:ascii="Times New Roman" w:hAnsi="Times New Roman" w:eastAsia="宋体" w:cs="Times New Roman"/>
        <w:b w:val="0"/>
        <w:color w:val="000000"/>
        <w:sz w:val="28"/>
      </w:rPr>
    </w:r>
    <w:fldSimple w:instr=" PAGE ">
      <w:r>
        <w:rPr>
          <w:rFonts w:ascii="Times New Roman" w:hAnsi="Times New Roman" w:eastAsia="宋体"/>
          <w:sz w:val="28"/>
        </w:rPr>
        <w:t>1</w:t>
      </w:r>
    </w:fldSimple>
    <w:r>
      <w:rPr>
        <w:rFonts w:ascii="Times New Roman" w:hAnsi="Times New Roman" w:eastAsia="宋体" w:cs="Times New Roman"/>
        <w:b w:val="0"/>
        <w:color w:val="000000"/>
        <w:sz w:val="28"/>
      </w:rPr>
      <w:t xml:space="preserve"> —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evenAndOddHeader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仿宋_GB2312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慧教智研--高校教师AIGC专属智能平台 教师使用手册</dc:title>
  <dc:subject>教师操作手册</dc:subject>
  <dc:creator>慧教智研项目组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zh-CN</dc:language>
</cp:coreProperties>
</file>